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8C7E" w14:textId="77777777" w:rsidR="004C3588" w:rsidRDefault="004C3588" w:rsidP="00361B44">
      <w:pPr>
        <w:tabs>
          <w:tab w:val="left" w:pos="5670"/>
        </w:tabs>
        <w:rPr>
          <w:b/>
          <w:i/>
          <w:lang w:eastAsia="en-US"/>
        </w:rPr>
      </w:pPr>
    </w:p>
    <w:p w14:paraId="688E84F4" w14:textId="24C22DF1" w:rsidR="004C3588" w:rsidRPr="004C3588" w:rsidRDefault="004C3588" w:rsidP="004C3588">
      <w:pPr>
        <w:tabs>
          <w:tab w:val="left" w:pos="5670"/>
        </w:tabs>
        <w:rPr>
          <w:i/>
          <w:sz w:val="20"/>
          <w:szCs w:val="20"/>
          <w:lang w:eastAsia="en-US"/>
        </w:rPr>
      </w:pPr>
      <w:r w:rsidRPr="004C3588">
        <w:rPr>
          <w:b/>
          <w:i/>
          <w:lang w:eastAsia="en-US"/>
        </w:rPr>
        <w:t>Suvestinė redakcija (neoficialus tekstas) nuo 202</w:t>
      </w:r>
      <w:r w:rsidR="00AA6080">
        <w:rPr>
          <w:b/>
          <w:i/>
          <w:lang w:eastAsia="en-US"/>
        </w:rPr>
        <w:t>3</w:t>
      </w:r>
      <w:r w:rsidRPr="004C3588">
        <w:rPr>
          <w:b/>
          <w:i/>
          <w:lang w:eastAsia="en-US"/>
        </w:rPr>
        <w:t>-</w:t>
      </w:r>
      <w:r w:rsidR="00D13D14">
        <w:rPr>
          <w:b/>
          <w:i/>
          <w:lang w:eastAsia="en-US"/>
        </w:rPr>
        <w:t>1</w:t>
      </w:r>
      <w:r w:rsidR="00AA6080">
        <w:rPr>
          <w:b/>
          <w:i/>
          <w:lang w:eastAsia="en-US"/>
        </w:rPr>
        <w:t>0</w:t>
      </w:r>
      <w:r w:rsidRPr="004C3588">
        <w:rPr>
          <w:b/>
          <w:i/>
          <w:lang w:eastAsia="en-US"/>
        </w:rPr>
        <w:t>-</w:t>
      </w:r>
      <w:r w:rsidR="00D13D14">
        <w:rPr>
          <w:b/>
          <w:i/>
          <w:lang w:eastAsia="en-US"/>
        </w:rPr>
        <w:t>3</w:t>
      </w:r>
      <w:r w:rsidR="00AA6080">
        <w:rPr>
          <w:b/>
          <w:i/>
          <w:lang w:eastAsia="en-US"/>
        </w:rPr>
        <w:t>1</w:t>
      </w:r>
      <w:r w:rsidRPr="004C3588">
        <w:rPr>
          <w:b/>
          <w:i/>
          <w:lang w:eastAsia="en-US"/>
        </w:rPr>
        <w:br/>
      </w:r>
      <w:r w:rsidRPr="004C3588">
        <w:rPr>
          <w:i/>
          <w:sz w:val="20"/>
          <w:szCs w:val="20"/>
          <w:lang w:eastAsia="en-US"/>
        </w:rPr>
        <w:t xml:space="preserve">Nauja įsakymo redakcija 2019 m. </w:t>
      </w:r>
      <w:r w:rsidR="00D13D14">
        <w:rPr>
          <w:i/>
          <w:sz w:val="20"/>
          <w:szCs w:val="20"/>
          <w:lang w:eastAsia="en-US"/>
        </w:rPr>
        <w:t>lapkričio</w:t>
      </w:r>
      <w:r w:rsidRPr="004C3588">
        <w:rPr>
          <w:i/>
          <w:sz w:val="20"/>
          <w:szCs w:val="20"/>
          <w:lang w:eastAsia="en-US"/>
        </w:rPr>
        <w:t xml:space="preserve"> </w:t>
      </w:r>
      <w:r w:rsidR="00D13D14">
        <w:rPr>
          <w:i/>
          <w:sz w:val="20"/>
          <w:szCs w:val="20"/>
          <w:lang w:eastAsia="en-US"/>
        </w:rPr>
        <w:t>8 d.</w:t>
      </w:r>
      <w:r w:rsidRPr="004C3588">
        <w:rPr>
          <w:i/>
          <w:sz w:val="20"/>
          <w:szCs w:val="20"/>
          <w:lang w:eastAsia="en-US"/>
        </w:rPr>
        <w:t>, Nr. A1-</w:t>
      </w:r>
      <w:r w:rsidR="00D13D14">
        <w:rPr>
          <w:i/>
          <w:sz w:val="20"/>
          <w:szCs w:val="20"/>
          <w:lang w:eastAsia="en-US"/>
        </w:rPr>
        <w:t>699</w:t>
      </w:r>
      <w:r w:rsidRPr="004C3588">
        <w:rPr>
          <w:i/>
          <w:sz w:val="20"/>
          <w:szCs w:val="20"/>
          <w:lang w:eastAsia="en-US"/>
        </w:rPr>
        <w:t xml:space="preserve"> </w:t>
      </w:r>
    </w:p>
    <w:p w14:paraId="3E8F73E9" w14:textId="77777777" w:rsidR="004C3588" w:rsidRPr="004C3588" w:rsidRDefault="004C3588" w:rsidP="004C3588">
      <w:pPr>
        <w:tabs>
          <w:tab w:val="left" w:pos="5670"/>
        </w:tabs>
        <w:rPr>
          <w:b/>
          <w:i/>
          <w:lang w:eastAsia="en-US"/>
        </w:rPr>
      </w:pPr>
    </w:p>
    <w:p w14:paraId="205E815F" w14:textId="77777777" w:rsidR="004C3588" w:rsidRPr="004C3588" w:rsidRDefault="004C3588" w:rsidP="004C3588">
      <w:pPr>
        <w:tabs>
          <w:tab w:val="left" w:pos="5670"/>
        </w:tabs>
        <w:jc w:val="center"/>
        <w:rPr>
          <w:b/>
          <w:i/>
          <w:lang w:eastAsia="en-US"/>
        </w:rPr>
      </w:pPr>
    </w:p>
    <w:p w14:paraId="6495D72D" w14:textId="77777777" w:rsidR="004C3588" w:rsidRPr="004C3588" w:rsidRDefault="004C3588" w:rsidP="004C3588">
      <w:pPr>
        <w:tabs>
          <w:tab w:val="left" w:pos="5670"/>
        </w:tabs>
        <w:jc w:val="center"/>
        <w:rPr>
          <w:b/>
          <w:lang w:eastAsia="en-US"/>
        </w:rPr>
      </w:pPr>
    </w:p>
    <w:p w14:paraId="636CC5FE" w14:textId="77777777" w:rsidR="004C3588" w:rsidRPr="004C3588" w:rsidRDefault="004C3588" w:rsidP="004C3588">
      <w:pPr>
        <w:framePr w:hSpace="180" w:wrap="auto" w:vAnchor="text" w:hAnchor="page" w:x="6331" w:y="39"/>
        <w:overflowPunct w:val="0"/>
        <w:autoSpaceDE w:val="0"/>
        <w:autoSpaceDN w:val="0"/>
        <w:adjustRightInd w:val="0"/>
        <w:jc w:val="center"/>
        <w:textAlignment w:val="baseline"/>
        <w:rPr>
          <w:lang w:eastAsia="en-US"/>
        </w:rPr>
      </w:pPr>
      <w:r w:rsidRPr="004C3588">
        <w:rPr>
          <w:lang w:eastAsia="en-US"/>
        </w:rPr>
        <w:object w:dxaOrig="820" w:dyaOrig="978" w14:anchorId="05E62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v:imagedata r:id="rId8" o:title=""/>
          </v:shape>
          <o:OLEObject Type="Embed" ProgID="MSDraw" ShapeID="_x0000_i1025" DrawAspect="Content" ObjectID="_1763379852" r:id="rId9">
            <o:FieldCodes>\* MERGEFORMAT</o:FieldCodes>
          </o:OLEObject>
        </w:object>
      </w:r>
    </w:p>
    <w:p w14:paraId="5EF489A6" w14:textId="77777777" w:rsidR="004C3588" w:rsidRPr="004C3588" w:rsidRDefault="004C3588" w:rsidP="004C3588">
      <w:pPr>
        <w:autoSpaceDE w:val="0"/>
        <w:autoSpaceDN w:val="0"/>
        <w:adjustRightInd w:val="0"/>
        <w:spacing w:line="274" w:lineRule="exact"/>
        <w:ind w:left="2366" w:right="2083"/>
        <w:jc w:val="center"/>
        <w:rPr>
          <w:b/>
          <w:bCs/>
          <w:color w:val="000000"/>
        </w:rPr>
      </w:pPr>
    </w:p>
    <w:p w14:paraId="6651801E" w14:textId="77777777" w:rsidR="004C3588" w:rsidRPr="004C3588" w:rsidRDefault="004C3588" w:rsidP="004C3588">
      <w:pPr>
        <w:autoSpaceDE w:val="0"/>
        <w:autoSpaceDN w:val="0"/>
        <w:adjustRightInd w:val="0"/>
        <w:spacing w:line="274" w:lineRule="exact"/>
        <w:ind w:left="2366" w:right="2083"/>
        <w:jc w:val="center"/>
        <w:rPr>
          <w:b/>
          <w:bCs/>
          <w:color w:val="000000"/>
        </w:rPr>
      </w:pPr>
    </w:p>
    <w:p w14:paraId="5FACDE6E" w14:textId="77777777" w:rsidR="004C3588" w:rsidRPr="004C3588" w:rsidRDefault="004C3588" w:rsidP="004C3588">
      <w:pPr>
        <w:autoSpaceDE w:val="0"/>
        <w:autoSpaceDN w:val="0"/>
        <w:adjustRightInd w:val="0"/>
        <w:spacing w:line="274" w:lineRule="exact"/>
        <w:ind w:left="2366" w:right="2083"/>
        <w:jc w:val="center"/>
        <w:rPr>
          <w:b/>
          <w:bCs/>
          <w:color w:val="000000"/>
        </w:rPr>
      </w:pPr>
    </w:p>
    <w:p w14:paraId="05DE1282" w14:textId="77777777" w:rsidR="004C3588" w:rsidRPr="004C3588" w:rsidRDefault="004C3588" w:rsidP="004C3588">
      <w:pPr>
        <w:autoSpaceDE w:val="0"/>
        <w:autoSpaceDN w:val="0"/>
        <w:adjustRightInd w:val="0"/>
        <w:spacing w:line="274" w:lineRule="exact"/>
        <w:ind w:left="2366" w:right="2083"/>
        <w:jc w:val="center"/>
        <w:rPr>
          <w:b/>
          <w:bCs/>
          <w:color w:val="000000"/>
        </w:rPr>
      </w:pPr>
    </w:p>
    <w:p w14:paraId="3378B1F6" w14:textId="77777777" w:rsidR="004C3588" w:rsidRPr="004C3588" w:rsidRDefault="004C3588" w:rsidP="004C3588">
      <w:pPr>
        <w:tabs>
          <w:tab w:val="left" w:pos="1985"/>
        </w:tabs>
        <w:autoSpaceDE w:val="0"/>
        <w:autoSpaceDN w:val="0"/>
        <w:adjustRightInd w:val="0"/>
        <w:spacing w:line="274" w:lineRule="exact"/>
        <w:ind w:left="2250" w:right="1699" w:hanging="549"/>
        <w:jc w:val="center"/>
        <w:rPr>
          <w:b/>
          <w:bCs/>
          <w:color w:val="000000"/>
        </w:rPr>
      </w:pPr>
      <w:r w:rsidRPr="004C3588">
        <w:rPr>
          <w:b/>
          <w:bCs/>
          <w:color w:val="000000"/>
        </w:rPr>
        <w:t xml:space="preserve">VALSTYBINĖS AUGALININKYSTĖS TARNYBOS </w:t>
      </w:r>
    </w:p>
    <w:p w14:paraId="384FEEB4" w14:textId="77777777" w:rsidR="004C3588" w:rsidRPr="004C3588" w:rsidRDefault="004C3588" w:rsidP="004C3588">
      <w:pPr>
        <w:tabs>
          <w:tab w:val="left" w:pos="1985"/>
        </w:tabs>
        <w:autoSpaceDE w:val="0"/>
        <w:autoSpaceDN w:val="0"/>
        <w:adjustRightInd w:val="0"/>
        <w:spacing w:line="274" w:lineRule="exact"/>
        <w:ind w:left="2250" w:right="1699" w:hanging="549"/>
        <w:jc w:val="center"/>
        <w:rPr>
          <w:b/>
          <w:bCs/>
          <w:color w:val="000000"/>
        </w:rPr>
      </w:pPr>
      <w:r w:rsidRPr="004C3588">
        <w:rPr>
          <w:b/>
          <w:bCs/>
          <w:color w:val="000000"/>
        </w:rPr>
        <w:t xml:space="preserve">PRIE ŽEMĖS ŪKIO MINISTERIJOS </w:t>
      </w:r>
    </w:p>
    <w:p w14:paraId="6D853C0A" w14:textId="77777777" w:rsidR="004C3588" w:rsidRPr="004C3588" w:rsidRDefault="004C3588" w:rsidP="004C3588">
      <w:pPr>
        <w:tabs>
          <w:tab w:val="left" w:pos="1985"/>
        </w:tabs>
        <w:autoSpaceDE w:val="0"/>
        <w:autoSpaceDN w:val="0"/>
        <w:adjustRightInd w:val="0"/>
        <w:spacing w:line="274" w:lineRule="exact"/>
        <w:ind w:left="2250" w:right="1699" w:hanging="549"/>
        <w:jc w:val="center"/>
        <w:rPr>
          <w:b/>
          <w:bCs/>
          <w:color w:val="000000"/>
        </w:rPr>
      </w:pPr>
      <w:r w:rsidRPr="004C3588">
        <w:rPr>
          <w:b/>
          <w:bCs/>
          <w:color w:val="000000"/>
        </w:rPr>
        <w:t>DIREKTORIUS</w:t>
      </w:r>
    </w:p>
    <w:p w14:paraId="2B5D44DE" w14:textId="77777777" w:rsidR="004C3588" w:rsidRPr="004C3588" w:rsidRDefault="004C3588" w:rsidP="004C3588">
      <w:pPr>
        <w:tabs>
          <w:tab w:val="left" w:pos="4820"/>
        </w:tabs>
        <w:jc w:val="center"/>
        <w:rPr>
          <w:b/>
          <w:lang w:eastAsia="en-US"/>
        </w:rPr>
      </w:pPr>
    </w:p>
    <w:p w14:paraId="3427CE98" w14:textId="77777777" w:rsidR="004C3588" w:rsidRPr="004C3588" w:rsidRDefault="004C3588" w:rsidP="004C3588">
      <w:pPr>
        <w:tabs>
          <w:tab w:val="left" w:pos="5670"/>
        </w:tabs>
        <w:jc w:val="center"/>
        <w:rPr>
          <w:b/>
          <w:lang w:eastAsia="en-US"/>
        </w:rPr>
      </w:pPr>
    </w:p>
    <w:p w14:paraId="762D5DCE" w14:textId="77777777" w:rsidR="004C3588" w:rsidRPr="004C3588" w:rsidRDefault="004C3588" w:rsidP="004C3588">
      <w:pPr>
        <w:tabs>
          <w:tab w:val="left" w:pos="851"/>
          <w:tab w:val="left" w:pos="1134"/>
        </w:tabs>
        <w:jc w:val="center"/>
        <w:rPr>
          <w:b/>
        </w:rPr>
      </w:pPr>
      <w:r w:rsidRPr="004C3588">
        <w:rPr>
          <w:b/>
        </w:rPr>
        <w:t>ĮSAKYMAS</w:t>
      </w:r>
    </w:p>
    <w:p w14:paraId="457497B4" w14:textId="77777777" w:rsidR="004C3588" w:rsidRPr="004C3588" w:rsidRDefault="00D13D14" w:rsidP="004C3588">
      <w:pPr>
        <w:tabs>
          <w:tab w:val="left" w:pos="851"/>
          <w:tab w:val="left" w:pos="1134"/>
        </w:tabs>
        <w:jc w:val="center"/>
      </w:pPr>
      <w:r w:rsidRPr="00D13D14">
        <w:rPr>
          <w:b/>
        </w:rPr>
        <w:t>DĖL ŪKIO SUBJEKTŲ VEIKLOS IR OBJEKTŲ, KURIUOSE PALANKIOS SĄLYGOS</w:t>
      </w:r>
      <w:r w:rsidRPr="00D13D14">
        <w:rPr>
          <w:b/>
        </w:rPr>
        <w:br/>
        <w:t>KENKSMINGIEMS ORGANIZMAMS PLISTI, RIZIKOS VERTINIMO TVARKOS</w:t>
      </w:r>
      <w:r w:rsidRPr="00D13D14">
        <w:rPr>
          <w:b/>
        </w:rPr>
        <w:br/>
        <w:t>APRAŠO PATVIRTINIMO</w:t>
      </w:r>
      <w:r w:rsidR="004C3588" w:rsidRPr="004C3588" w:rsidDel="003733F5">
        <w:t xml:space="preserve"> </w:t>
      </w:r>
    </w:p>
    <w:p w14:paraId="24ECB593" w14:textId="77777777" w:rsidR="004C3588" w:rsidRPr="004C3588" w:rsidRDefault="004C3588" w:rsidP="004C3588">
      <w:pPr>
        <w:tabs>
          <w:tab w:val="left" w:pos="851"/>
          <w:tab w:val="left" w:pos="1134"/>
        </w:tabs>
        <w:jc w:val="center"/>
      </w:pPr>
    </w:p>
    <w:p w14:paraId="27FE926F" w14:textId="77777777" w:rsidR="004C3588" w:rsidRPr="004C3588" w:rsidRDefault="004C3588" w:rsidP="004C3588">
      <w:pPr>
        <w:tabs>
          <w:tab w:val="left" w:pos="851"/>
          <w:tab w:val="left" w:pos="1134"/>
        </w:tabs>
        <w:jc w:val="center"/>
        <w:rPr>
          <w:lang w:val="en-US"/>
        </w:rPr>
      </w:pPr>
      <w:r w:rsidRPr="004C3588">
        <w:rPr>
          <w:szCs w:val="20"/>
        </w:rPr>
        <w:t>201</w:t>
      </w:r>
      <w:r w:rsidR="00D13D14">
        <w:rPr>
          <w:szCs w:val="20"/>
        </w:rPr>
        <w:t>2</w:t>
      </w:r>
      <w:r w:rsidRPr="004C3588">
        <w:rPr>
          <w:szCs w:val="20"/>
        </w:rPr>
        <w:t xml:space="preserve"> m. </w:t>
      </w:r>
      <w:r w:rsidR="00D13D14">
        <w:rPr>
          <w:szCs w:val="20"/>
        </w:rPr>
        <w:t>liepos</w:t>
      </w:r>
      <w:r w:rsidRPr="004C3588">
        <w:rPr>
          <w:szCs w:val="20"/>
        </w:rPr>
        <w:t xml:space="preserve"> </w:t>
      </w:r>
      <w:r w:rsidR="00D13D14">
        <w:rPr>
          <w:szCs w:val="20"/>
        </w:rPr>
        <w:t>27</w:t>
      </w:r>
      <w:r w:rsidRPr="004C3588">
        <w:rPr>
          <w:szCs w:val="20"/>
        </w:rPr>
        <w:t xml:space="preserve"> d. Nr. A1-</w:t>
      </w:r>
      <w:r w:rsidR="00D13D14">
        <w:rPr>
          <w:szCs w:val="20"/>
        </w:rPr>
        <w:t>239</w:t>
      </w:r>
    </w:p>
    <w:p w14:paraId="6C44717B" w14:textId="77777777" w:rsidR="004C3588" w:rsidRPr="004C3588" w:rsidRDefault="004C3588" w:rsidP="004C3588">
      <w:pPr>
        <w:tabs>
          <w:tab w:val="left" w:pos="851"/>
          <w:tab w:val="left" w:pos="1134"/>
        </w:tabs>
        <w:spacing w:after="200" w:line="276" w:lineRule="auto"/>
        <w:ind w:left="709"/>
        <w:jc w:val="center"/>
        <w:rPr>
          <w:lang w:val="en-US"/>
        </w:rPr>
      </w:pPr>
    </w:p>
    <w:p w14:paraId="18C26EA0" w14:textId="77777777" w:rsidR="004C3588" w:rsidRPr="004C3588" w:rsidRDefault="00D13D14" w:rsidP="004C3588">
      <w:pPr>
        <w:spacing w:line="360" w:lineRule="auto"/>
        <w:ind w:firstLine="851"/>
        <w:jc w:val="both"/>
      </w:pPr>
      <w:r w:rsidRPr="00D13D14">
        <w:t xml:space="preserve">Vadovaudamasis Lietuvos Respublikos </w:t>
      </w:r>
      <w:proofErr w:type="spellStart"/>
      <w:r w:rsidRPr="00D13D14">
        <w:t>fitosanitarijos</w:t>
      </w:r>
      <w:proofErr w:type="spellEnd"/>
      <w:r w:rsidRPr="00D13D14">
        <w:t xml:space="preserve"> įstatymo 3 straipsnio 1 dalies</w:t>
      </w:r>
      <w:r w:rsidRPr="00D13D14">
        <w:br/>
        <w:t>1 punktu, Lietuvos Respublikos viešojo administravimo įstatymo 364 straipsnio</w:t>
      </w:r>
      <w:r w:rsidRPr="00D13D14">
        <w:br/>
        <w:t>2 dalies 1 punktu, Institucijų atliekamų priežiūros funkcijų optimizavimo gairių aprašo, patvirtinto</w:t>
      </w:r>
      <w:r w:rsidRPr="00D13D14">
        <w:br/>
        <w:t>Lietuvos Respublikos Vyriausybės 2010 m. gegužės 4 d. nutarimu Nr. 511 „Dėl institucijų atliekamų</w:t>
      </w:r>
      <w:r w:rsidRPr="00D13D14">
        <w:br/>
        <w:t>priežiūros funkcijų optimizavimo“, 7.12 papunkčiu ir atsižvelgdamas į Valstybinės augalininkystės</w:t>
      </w:r>
      <w:r w:rsidRPr="00D13D14">
        <w:br/>
        <w:t>tarnybos prie Žemės ūkio ministerijos atliekamos ūkio subjektų veiklos priežiūros taisyklių,</w:t>
      </w:r>
      <w:r w:rsidRPr="00D13D14">
        <w:br/>
        <w:t>patvirtintų Valstybinės augalininkystės tarnybos prie Žemės ūkio ministerijos direktoriaus 2011 m.</w:t>
      </w:r>
      <w:r w:rsidRPr="00D13D14">
        <w:br/>
        <w:t>liepos 5 d. įsakymu Nr. A1-218 „Dėl Valstybinės augalininkystės tarnybos prie Žemės ūkio</w:t>
      </w:r>
      <w:r w:rsidRPr="00D13D14">
        <w:br/>
        <w:t>ministerijos atliekamos ūkio subjektų veiklos priežiūros taisyklių patvirtinimo“, nuostatas</w:t>
      </w:r>
      <w:r w:rsidR="004C3588" w:rsidRPr="004C3588">
        <w:t xml:space="preserve">, </w:t>
      </w:r>
    </w:p>
    <w:p w14:paraId="761ABC2D" w14:textId="77777777" w:rsidR="004C3588" w:rsidRPr="004C3588" w:rsidRDefault="004C3588" w:rsidP="004C3588">
      <w:pPr>
        <w:autoSpaceDE w:val="0"/>
        <w:autoSpaceDN w:val="0"/>
        <w:adjustRightInd w:val="0"/>
        <w:spacing w:line="360" w:lineRule="auto"/>
        <w:ind w:firstLine="851"/>
        <w:jc w:val="both"/>
      </w:pPr>
      <w:r w:rsidRPr="004C3588">
        <w:rPr>
          <w:spacing w:val="50"/>
        </w:rPr>
        <w:t xml:space="preserve">tvirtinu </w:t>
      </w:r>
      <w:r w:rsidR="00D13D14" w:rsidRPr="00D13D14">
        <w:t>Ūkio subjektų veiklos ir objektų, kuriuose palankios sąlygos kenksmingiesiems</w:t>
      </w:r>
      <w:r w:rsidR="00D13D14" w:rsidRPr="00D13D14">
        <w:br/>
        <w:t>organizmams plisti, rizikos vertinimo</w:t>
      </w:r>
      <w:r w:rsidRPr="004C3588">
        <w:t xml:space="preserve"> tvarkos aprašą (pridedama).</w:t>
      </w:r>
    </w:p>
    <w:p w14:paraId="7AB1F232" w14:textId="77777777" w:rsidR="004C3588" w:rsidRPr="004C3588" w:rsidRDefault="004C3588" w:rsidP="004C3588">
      <w:pPr>
        <w:tabs>
          <w:tab w:val="left" w:pos="5670"/>
        </w:tabs>
        <w:rPr>
          <w:b/>
          <w:i/>
          <w:lang w:eastAsia="en-US"/>
        </w:rPr>
      </w:pPr>
    </w:p>
    <w:p w14:paraId="17A55F14" w14:textId="77777777" w:rsidR="004C3588" w:rsidRPr="004C3588" w:rsidRDefault="004C3588" w:rsidP="004C3588">
      <w:pPr>
        <w:tabs>
          <w:tab w:val="left" w:pos="5670"/>
        </w:tabs>
        <w:rPr>
          <w:b/>
          <w:i/>
          <w:lang w:eastAsia="en-US"/>
        </w:rPr>
      </w:pPr>
    </w:p>
    <w:p w14:paraId="3E3D3FEF" w14:textId="77777777" w:rsidR="004C3588" w:rsidRPr="004C3588" w:rsidRDefault="004C3588" w:rsidP="004C3588">
      <w:pPr>
        <w:spacing w:after="200" w:line="276" w:lineRule="auto"/>
        <w:jc w:val="both"/>
        <w:rPr>
          <w:lang w:val="en-US"/>
        </w:rPr>
      </w:pPr>
      <w:proofErr w:type="spellStart"/>
      <w:r w:rsidRPr="004C3588">
        <w:rPr>
          <w:lang w:val="en-US"/>
        </w:rPr>
        <w:t>Direktorius</w:t>
      </w:r>
      <w:proofErr w:type="spellEnd"/>
      <w:r w:rsidRPr="004C3588">
        <w:rPr>
          <w:lang w:val="en-US"/>
        </w:rPr>
        <w:tab/>
      </w:r>
      <w:r w:rsidRPr="004C3588">
        <w:rPr>
          <w:lang w:val="en-US"/>
        </w:rPr>
        <w:tab/>
      </w:r>
      <w:r w:rsidRPr="004C3588">
        <w:rPr>
          <w:lang w:val="en-US"/>
        </w:rPr>
        <w:tab/>
      </w:r>
      <w:r w:rsidRPr="004C3588">
        <w:rPr>
          <w:lang w:val="en-US"/>
        </w:rPr>
        <w:tab/>
      </w:r>
      <w:r w:rsidRPr="004C3588">
        <w:rPr>
          <w:lang w:val="en-US"/>
        </w:rPr>
        <w:tab/>
        <w:t xml:space="preserve">                 Sergejus Fedotovas</w:t>
      </w:r>
    </w:p>
    <w:p w14:paraId="4ECA7A1B" w14:textId="77777777" w:rsidR="004C3588" w:rsidRPr="004C3588" w:rsidRDefault="004C3588" w:rsidP="004C3588">
      <w:pPr>
        <w:tabs>
          <w:tab w:val="left" w:pos="5670"/>
        </w:tabs>
        <w:rPr>
          <w:b/>
          <w:i/>
          <w:lang w:eastAsia="en-US"/>
        </w:rPr>
      </w:pPr>
    </w:p>
    <w:p w14:paraId="48BB462F" w14:textId="77777777" w:rsidR="004C3588" w:rsidRPr="004C3588" w:rsidRDefault="004C3588" w:rsidP="004C3588">
      <w:pPr>
        <w:tabs>
          <w:tab w:val="left" w:pos="5670"/>
        </w:tabs>
        <w:rPr>
          <w:b/>
          <w:i/>
          <w:lang w:eastAsia="en-US"/>
        </w:rPr>
      </w:pPr>
    </w:p>
    <w:p w14:paraId="538053E3" w14:textId="77777777" w:rsidR="004C3588" w:rsidRPr="004C3588" w:rsidRDefault="004C3588" w:rsidP="004C3588">
      <w:pPr>
        <w:tabs>
          <w:tab w:val="left" w:pos="5670"/>
        </w:tabs>
        <w:rPr>
          <w:b/>
          <w:i/>
          <w:lang w:eastAsia="en-US"/>
        </w:rPr>
      </w:pPr>
    </w:p>
    <w:p w14:paraId="7D1F0AFF" w14:textId="77777777" w:rsidR="004C3588" w:rsidRPr="004C3588" w:rsidRDefault="004C3588" w:rsidP="004C3588">
      <w:pPr>
        <w:tabs>
          <w:tab w:val="left" w:pos="5670"/>
        </w:tabs>
        <w:rPr>
          <w:b/>
          <w:i/>
          <w:lang w:eastAsia="en-US"/>
        </w:rPr>
      </w:pPr>
    </w:p>
    <w:p w14:paraId="2AF5C92E" w14:textId="77777777" w:rsidR="004C3588" w:rsidRPr="004C3588" w:rsidRDefault="004C3588" w:rsidP="004C3588">
      <w:pPr>
        <w:tabs>
          <w:tab w:val="left" w:pos="5670"/>
        </w:tabs>
        <w:rPr>
          <w:b/>
          <w:i/>
          <w:lang w:eastAsia="en-US"/>
        </w:rPr>
      </w:pPr>
    </w:p>
    <w:p w14:paraId="3233BCF5" w14:textId="77777777" w:rsidR="004C3588" w:rsidRPr="004C3588" w:rsidRDefault="004C3588" w:rsidP="004C3588">
      <w:pPr>
        <w:tabs>
          <w:tab w:val="left" w:pos="5670"/>
        </w:tabs>
        <w:rPr>
          <w:b/>
          <w:i/>
          <w:lang w:eastAsia="en-US"/>
        </w:rPr>
      </w:pPr>
    </w:p>
    <w:p w14:paraId="05E4D547" w14:textId="77777777" w:rsidR="004C3588" w:rsidRDefault="004C3588" w:rsidP="004C3588">
      <w:pPr>
        <w:rPr>
          <w:lang w:eastAsia="en-US"/>
        </w:rPr>
      </w:pPr>
    </w:p>
    <w:p w14:paraId="36D6C934" w14:textId="77777777" w:rsidR="004C3588" w:rsidRDefault="004C3588" w:rsidP="004C3588">
      <w:pPr>
        <w:rPr>
          <w:lang w:eastAsia="en-US"/>
        </w:rPr>
      </w:pPr>
    </w:p>
    <w:p w14:paraId="68F1A382" w14:textId="77777777" w:rsidR="004C3588" w:rsidRPr="004C3588" w:rsidRDefault="004C3588" w:rsidP="004C3588">
      <w:pPr>
        <w:rPr>
          <w:lang w:eastAsia="en-US"/>
        </w:rPr>
        <w:sectPr w:rsidR="004C3588" w:rsidRPr="004C3588" w:rsidSect="00B948DB">
          <w:headerReference w:type="even" r:id="rId10"/>
          <w:headerReference w:type="default" r:id="rId11"/>
          <w:headerReference w:type="first" r:id="rId12"/>
          <w:pgSz w:w="11906" w:h="16838"/>
          <w:pgMar w:top="0" w:right="567" w:bottom="1276" w:left="1701" w:header="567" w:footer="567" w:gutter="0"/>
          <w:pgNumType w:start="1"/>
          <w:cols w:space="1296"/>
          <w:titlePg/>
          <w:docGrid w:linePitch="360"/>
        </w:sectPr>
      </w:pPr>
    </w:p>
    <w:p w14:paraId="191AA758" w14:textId="77777777" w:rsidR="00361B44" w:rsidRPr="00D13D14" w:rsidRDefault="00D13D14" w:rsidP="00361B44">
      <w:pPr>
        <w:tabs>
          <w:tab w:val="left" w:pos="5670"/>
        </w:tabs>
        <w:rPr>
          <w:i/>
          <w:sz w:val="20"/>
          <w:szCs w:val="20"/>
          <w:lang w:eastAsia="en-US"/>
        </w:rPr>
      </w:pPr>
      <w:r w:rsidRPr="00D13D14">
        <w:rPr>
          <w:bCs/>
          <w:i/>
          <w:sz w:val="20"/>
          <w:szCs w:val="20"/>
          <w:lang w:eastAsia="en-US"/>
        </w:rPr>
        <w:t>Nauja tvarkos aprašo redakcija 2019 m. lapkričio 8 d., Nr. A1-699</w:t>
      </w:r>
      <w:r w:rsidR="00361B44" w:rsidRPr="00D13D14">
        <w:rPr>
          <w:i/>
          <w:sz w:val="20"/>
          <w:szCs w:val="20"/>
          <w:lang w:eastAsia="en-US"/>
        </w:rPr>
        <w:br/>
      </w:r>
    </w:p>
    <w:p w14:paraId="2E928AC6" w14:textId="77777777" w:rsidR="00CD1BF6" w:rsidRDefault="00CD1BF6" w:rsidP="00CD1BF6"/>
    <w:p w14:paraId="46E2A36C" w14:textId="77777777" w:rsidR="000E33D1" w:rsidRPr="00EA26D9" w:rsidRDefault="00CD1BF6" w:rsidP="00CD1BF6">
      <w:pPr>
        <w:ind w:left="5387" w:hanging="5387"/>
      </w:pPr>
      <w:r>
        <w:tab/>
      </w:r>
      <w:r w:rsidR="000E33D1" w:rsidRPr="00EA26D9">
        <w:t>PATVIRTINTA</w:t>
      </w:r>
    </w:p>
    <w:p w14:paraId="7FA449BC" w14:textId="77777777" w:rsidR="00193911" w:rsidRPr="00EA26D9" w:rsidRDefault="000E33D1" w:rsidP="00193911">
      <w:pPr>
        <w:autoSpaceDE w:val="0"/>
        <w:autoSpaceDN w:val="0"/>
        <w:adjustRightInd w:val="0"/>
        <w:ind w:left="5387"/>
      </w:pPr>
      <w:r w:rsidRPr="00EA26D9">
        <w:t>Valstybinės augalininkystės tarnybos prie</w:t>
      </w:r>
      <w:r w:rsidR="008F6582" w:rsidRPr="00EA26D9">
        <w:t xml:space="preserve"> </w:t>
      </w:r>
      <w:r w:rsidRPr="00EA26D9">
        <w:t>Žemės ūkio ministerijos</w:t>
      </w:r>
      <w:r w:rsidR="00193911" w:rsidRPr="00EA26D9">
        <w:t xml:space="preserve"> </w:t>
      </w:r>
      <w:r w:rsidRPr="00EA26D9">
        <w:t xml:space="preserve">direktoriaus </w:t>
      </w:r>
    </w:p>
    <w:p w14:paraId="5CADB9E4" w14:textId="77777777" w:rsidR="000E33D1" w:rsidRPr="00EA26D9" w:rsidRDefault="000E33D1" w:rsidP="00193911">
      <w:pPr>
        <w:autoSpaceDE w:val="0"/>
        <w:autoSpaceDN w:val="0"/>
        <w:adjustRightInd w:val="0"/>
        <w:ind w:left="5387"/>
      </w:pPr>
      <w:smartTag w:uri="urn:schemas-microsoft-com:office:smarttags" w:element="metricconverter">
        <w:smartTagPr>
          <w:attr w:name="ProductID" w:val="2012 M"/>
        </w:smartTagPr>
        <w:smartTag w:uri="schemas-tilde-lv/tildestengine" w:element="metric2">
          <w:smartTagPr>
            <w:attr w:name="metric_value" w:val="2012"/>
            <w:attr w:name="metric_text" w:val="m"/>
          </w:smartTagPr>
          <w:r w:rsidRPr="00EA26D9">
            <w:t>201</w:t>
          </w:r>
          <w:r w:rsidR="00875607" w:rsidRPr="00EA26D9">
            <w:t>2</w:t>
          </w:r>
          <w:r w:rsidRPr="00EA26D9">
            <w:t xml:space="preserve"> m</w:t>
          </w:r>
        </w:smartTag>
      </w:smartTag>
      <w:r w:rsidRPr="00EA26D9">
        <w:t xml:space="preserve">. </w:t>
      </w:r>
      <w:r w:rsidR="00875607" w:rsidRPr="00EA26D9">
        <w:t>liepos</w:t>
      </w:r>
      <w:r w:rsidRPr="00EA26D9">
        <w:t xml:space="preserve"> </w:t>
      </w:r>
      <w:r w:rsidR="00875607" w:rsidRPr="00EA26D9">
        <w:t>27</w:t>
      </w:r>
      <w:r w:rsidRPr="00EA26D9">
        <w:t xml:space="preserve"> d.</w:t>
      </w:r>
      <w:r w:rsidR="00193911" w:rsidRPr="00EA26D9">
        <w:t xml:space="preserve"> </w:t>
      </w:r>
      <w:r w:rsidRPr="00EA26D9">
        <w:t xml:space="preserve">įsakymu Nr. </w:t>
      </w:r>
      <w:r w:rsidR="00875607" w:rsidRPr="00EA26D9">
        <w:t>A1-239</w:t>
      </w:r>
    </w:p>
    <w:p w14:paraId="0FC13EC4" w14:textId="77777777" w:rsidR="006E2379" w:rsidRPr="00EA26D9" w:rsidRDefault="00875607" w:rsidP="00193911">
      <w:pPr>
        <w:autoSpaceDE w:val="0"/>
        <w:autoSpaceDN w:val="0"/>
        <w:adjustRightInd w:val="0"/>
        <w:ind w:left="5387"/>
      </w:pPr>
      <w:r w:rsidRPr="00EA26D9">
        <w:t>(Valstybinės augalininkystės tarnybos prie</w:t>
      </w:r>
      <w:r w:rsidR="008F6582" w:rsidRPr="00EA26D9">
        <w:t xml:space="preserve"> </w:t>
      </w:r>
      <w:r w:rsidRPr="00EA26D9">
        <w:t xml:space="preserve">Žemės ūkio ministerijos </w:t>
      </w:r>
      <w:r w:rsidR="008F6582" w:rsidRPr="00EA26D9">
        <w:t xml:space="preserve">direktoriaus </w:t>
      </w:r>
    </w:p>
    <w:p w14:paraId="03919E01" w14:textId="77777777" w:rsidR="00875607" w:rsidRPr="00EA26D9" w:rsidRDefault="007C2858" w:rsidP="00193911">
      <w:pPr>
        <w:autoSpaceDE w:val="0"/>
        <w:autoSpaceDN w:val="0"/>
        <w:adjustRightInd w:val="0"/>
        <w:ind w:left="5387"/>
      </w:pPr>
      <w:r w:rsidRPr="00EA26D9">
        <w:t>201</w:t>
      </w:r>
      <w:r w:rsidR="005D329C" w:rsidRPr="00EA26D9">
        <w:t>9</w:t>
      </w:r>
      <w:r w:rsidRPr="00EA26D9">
        <w:t xml:space="preserve"> </w:t>
      </w:r>
      <w:r w:rsidR="00875607" w:rsidRPr="00EA26D9">
        <w:t>m.</w:t>
      </w:r>
      <w:r w:rsidR="00D13D14">
        <w:t xml:space="preserve"> lapkričio 8</w:t>
      </w:r>
      <w:r w:rsidR="00AF367B">
        <w:t xml:space="preserve"> </w:t>
      </w:r>
      <w:r w:rsidR="00875607" w:rsidRPr="00EA26D9">
        <w:t>d.</w:t>
      </w:r>
      <w:r w:rsidR="00062EF6" w:rsidRPr="00EA26D9">
        <w:t xml:space="preserve"> </w:t>
      </w:r>
      <w:r w:rsidR="00D13D14">
        <w:t xml:space="preserve"> įsakymo Nr. A1-699</w:t>
      </w:r>
      <w:r w:rsidR="00266A73" w:rsidRPr="00EA26D9">
        <w:t xml:space="preserve">   </w:t>
      </w:r>
      <w:r w:rsidR="00875607" w:rsidRPr="00EA26D9">
        <w:t xml:space="preserve">  redakcija)</w:t>
      </w:r>
    </w:p>
    <w:p w14:paraId="046733B4" w14:textId="77777777" w:rsidR="00875607" w:rsidRPr="00EA26D9" w:rsidRDefault="00875607" w:rsidP="00193911">
      <w:pPr>
        <w:autoSpaceDE w:val="0"/>
        <w:autoSpaceDN w:val="0"/>
        <w:adjustRightInd w:val="0"/>
        <w:ind w:left="5670"/>
      </w:pPr>
    </w:p>
    <w:p w14:paraId="063741BB" w14:textId="77777777" w:rsidR="000E33D1" w:rsidRPr="00EA26D9" w:rsidRDefault="000E33D1" w:rsidP="000979EC">
      <w:pPr>
        <w:jc w:val="center"/>
        <w:rPr>
          <w:b/>
        </w:rPr>
      </w:pPr>
    </w:p>
    <w:p w14:paraId="10E16566" w14:textId="77777777" w:rsidR="005D329C" w:rsidRPr="00EA26D9" w:rsidRDefault="005D329C" w:rsidP="005D329C">
      <w:pPr>
        <w:jc w:val="center"/>
        <w:rPr>
          <w:b/>
        </w:rPr>
      </w:pPr>
      <w:r w:rsidRPr="00EA26D9">
        <w:rPr>
          <w:b/>
        </w:rPr>
        <w:t xml:space="preserve">ŪKIO SUBJEKTŲ </w:t>
      </w:r>
      <w:r w:rsidR="00BD667C" w:rsidRPr="00EA26D9">
        <w:rPr>
          <w:b/>
        </w:rPr>
        <w:t>VEIKLOS</w:t>
      </w:r>
      <w:r w:rsidR="002B2039" w:rsidRPr="00EA26D9">
        <w:rPr>
          <w:b/>
        </w:rPr>
        <w:t xml:space="preserve"> </w:t>
      </w:r>
      <w:r w:rsidRPr="00EA26D9">
        <w:rPr>
          <w:b/>
        </w:rPr>
        <w:t>IR OBJEKTŲ</w:t>
      </w:r>
      <w:r w:rsidR="00337AF1" w:rsidRPr="00EA26D9">
        <w:rPr>
          <w:b/>
        </w:rPr>
        <w:t>, KURIUOSE PALANKIOS SĄLYGOS KENKSMINGIEMS ORGANIZMAMS PLISTI</w:t>
      </w:r>
      <w:r w:rsidR="00A83898" w:rsidRPr="00EA26D9">
        <w:rPr>
          <w:b/>
        </w:rPr>
        <w:t>,</w:t>
      </w:r>
      <w:r w:rsidRPr="00EA26D9">
        <w:rPr>
          <w:b/>
        </w:rPr>
        <w:t xml:space="preserve"> RIZIKOS VERTINIMO TVARKOS APRAŠAS</w:t>
      </w:r>
    </w:p>
    <w:p w14:paraId="31FBB1F4" w14:textId="77777777" w:rsidR="005D329C" w:rsidRPr="00EA26D9" w:rsidRDefault="005D329C" w:rsidP="005D329C">
      <w:pPr>
        <w:jc w:val="center"/>
        <w:rPr>
          <w:b/>
        </w:rPr>
      </w:pPr>
    </w:p>
    <w:p w14:paraId="1FE6A473" w14:textId="77777777" w:rsidR="005D329C" w:rsidRPr="00EA26D9" w:rsidRDefault="005D329C" w:rsidP="005D329C">
      <w:pPr>
        <w:jc w:val="center"/>
        <w:rPr>
          <w:b/>
        </w:rPr>
      </w:pPr>
      <w:r w:rsidRPr="00EA26D9">
        <w:rPr>
          <w:b/>
        </w:rPr>
        <w:t xml:space="preserve">I SKYRIUS </w:t>
      </w:r>
    </w:p>
    <w:p w14:paraId="6E3F9C34" w14:textId="77777777" w:rsidR="005D329C" w:rsidRPr="00EA26D9" w:rsidRDefault="005D329C" w:rsidP="005D329C">
      <w:pPr>
        <w:jc w:val="center"/>
        <w:rPr>
          <w:b/>
        </w:rPr>
      </w:pPr>
      <w:r w:rsidRPr="00EA26D9">
        <w:rPr>
          <w:b/>
        </w:rPr>
        <w:t>BENDROSIOS NUOSTATOS</w:t>
      </w:r>
    </w:p>
    <w:p w14:paraId="19585B39" w14:textId="77777777" w:rsidR="005D329C" w:rsidRPr="00EA26D9" w:rsidRDefault="005D329C" w:rsidP="005D329C">
      <w:pPr>
        <w:jc w:val="center"/>
        <w:rPr>
          <w:b/>
        </w:rPr>
      </w:pPr>
    </w:p>
    <w:p w14:paraId="6DB05593" w14:textId="77777777" w:rsidR="00846590" w:rsidRDefault="005D329C" w:rsidP="00B56F5F">
      <w:pPr>
        <w:pStyle w:val="Komentarotekstas"/>
        <w:tabs>
          <w:tab w:val="left" w:pos="284"/>
        </w:tabs>
        <w:spacing w:line="360" w:lineRule="auto"/>
        <w:ind w:firstLine="851"/>
        <w:jc w:val="both"/>
        <w:rPr>
          <w:sz w:val="24"/>
          <w:szCs w:val="24"/>
        </w:rPr>
      </w:pPr>
      <w:r w:rsidRPr="00EA26D9">
        <w:rPr>
          <w:sz w:val="24"/>
          <w:szCs w:val="24"/>
        </w:rPr>
        <w:t xml:space="preserve">1. </w:t>
      </w:r>
      <w:r w:rsidR="00436898" w:rsidRPr="00436898">
        <w:rPr>
          <w:bCs/>
          <w:iCs/>
          <w:sz w:val="24"/>
          <w:szCs w:val="24"/>
        </w:rPr>
        <w:t xml:space="preserve">Ūkio subjektų veiklos ir objektų, kuriuose palankios sąlygos kenksmingiesiems organizmams plisti, rizikos vertinimo tvarkos aprašas (toliau – aprašas) reglamentuoja tikrintinų Lietuvos Respublikos fitosanitariniame registre registruotų ūkio subjektų (toliau – ūkio subjektai), sodinančių ir auginančių, dauginančių, įvežančių iš ne Europos Sąjungos valstybių, vežančių Europos Sąjungos teritorija ir išvežančių iš jos, sandėliuojančių, pakuojančių, superkančių, renkančių ir realizuojančių augalus, taip pat gaminančių, įvežančių iš ne Europos Sąjungos valstybių, vežančių Europos Sąjungos teritorija ir išvežančių iš jos, sandėliuojančių, superkančių, renkančių, pakuojančių, perdirbančių ir realizuojančių augalinius produktus ir medinę pakavimo medžiagą, vykdomos ūkinės veiklos (toliau – ūkio subjektų veikla) ir objektų (parkų, sodininkų bendrijų, turgaviečių ir kitų vietų) (toliau – objektas), kuriuose palankios sąlygos kenksmingiesiems organizmams plisti, rizikos vertinimą, planinių patikrinimų metinio plano sudarymo tvarką, Valstybinės augalininkystės tarnybos prie Žemės ūkio ministerijos (toliau – tarnyba) </w:t>
      </w:r>
      <w:proofErr w:type="spellStart"/>
      <w:r w:rsidR="00436898" w:rsidRPr="00436898">
        <w:rPr>
          <w:bCs/>
          <w:iCs/>
          <w:sz w:val="24"/>
          <w:szCs w:val="24"/>
        </w:rPr>
        <w:t>Fitosanitarijos</w:t>
      </w:r>
      <w:proofErr w:type="spellEnd"/>
      <w:r w:rsidR="00436898" w:rsidRPr="00436898">
        <w:rPr>
          <w:bCs/>
          <w:iCs/>
          <w:sz w:val="24"/>
          <w:szCs w:val="24"/>
        </w:rPr>
        <w:t xml:space="preserve"> skyriaus veiksmus, vertinant ūkio subjektų veiklos ir objektų, kuriuose palankios sąlygos kenksmingiesiems organizmams plisti, keliamą riziką (esamą ir numatomą</w:t>
      </w:r>
      <w:r w:rsidR="00436898">
        <w:rPr>
          <w:bCs/>
          <w:iCs/>
          <w:sz w:val="24"/>
          <w:szCs w:val="24"/>
        </w:rPr>
        <w:t>)</w:t>
      </w:r>
      <w:r w:rsidRPr="00436898">
        <w:rPr>
          <w:sz w:val="24"/>
          <w:szCs w:val="24"/>
        </w:rPr>
        <w:t>.</w:t>
      </w:r>
      <w:r w:rsidR="00B56F5F" w:rsidRPr="00436898">
        <w:rPr>
          <w:sz w:val="24"/>
          <w:szCs w:val="24"/>
        </w:rPr>
        <w:t xml:space="preserve"> </w:t>
      </w:r>
    </w:p>
    <w:p w14:paraId="20CFC744" w14:textId="77777777" w:rsidR="00B948DB" w:rsidRPr="00D13D14" w:rsidRDefault="00B948DB" w:rsidP="00B948DB">
      <w:pPr>
        <w:pStyle w:val="Sraopastraipa"/>
        <w:spacing w:after="0" w:line="360" w:lineRule="auto"/>
        <w:ind w:left="0"/>
        <w:jc w:val="both"/>
        <w:rPr>
          <w:rFonts w:ascii="Times New Roman" w:hAnsi="Times New Roman"/>
          <w:i/>
          <w:sz w:val="20"/>
          <w:szCs w:val="20"/>
        </w:rPr>
      </w:pPr>
      <w:r w:rsidRPr="00D13D14">
        <w:rPr>
          <w:rFonts w:ascii="Times New Roman" w:hAnsi="Times New Roman"/>
          <w:i/>
          <w:sz w:val="20"/>
          <w:szCs w:val="20"/>
        </w:rPr>
        <w:t>Pakeitimai:</w:t>
      </w:r>
    </w:p>
    <w:p w14:paraId="5E1C2DAE" w14:textId="77777777" w:rsidR="00B948DB" w:rsidRPr="00B948DB" w:rsidRDefault="00B948DB" w:rsidP="00B948DB">
      <w:pPr>
        <w:pStyle w:val="Sraopastraipa"/>
        <w:spacing w:after="0" w:line="360" w:lineRule="auto"/>
        <w:ind w:left="0"/>
        <w:jc w:val="both"/>
        <w:rPr>
          <w:rFonts w:ascii="Times New Roman" w:hAnsi="Times New Roman"/>
          <w:i/>
        </w:rPr>
      </w:pPr>
      <w:r w:rsidRPr="00D13D14">
        <w:rPr>
          <w:rFonts w:ascii="Times New Roman" w:hAnsi="Times New Roman"/>
          <w:i/>
          <w:sz w:val="20"/>
          <w:szCs w:val="20"/>
        </w:rPr>
        <w:t>2021 m. lapkričio 30 d. įsakymas Nr. A1-705</w:t>
      </w:r>
    </w:p>
    <w:p w14:paraId="7A114BF7" w14:textId="77777777" w:rsidR="00846590" w:rsidRPr="00EA26D9" w:rsidRDefault="0076191C" w:rsidP="00A56FAA">
      <w:pPr>
        <w:pStyle w:val="Komentarotekstas"/>
        <w:spacing w:line="360" w:lineRule="auto"/>
        <w:ind w:firstLine="851"/>
        <w:jc w:val="both"/>
        <w:rPr>
          <w:sz w:val="24"/>
          <w:szCs w:val="24"/>
        </w:rPr>
      </w:pPr>
      <w:r w:rsidRPr="00EA26D9">
        <w:rPr>
          <w:sz w:val="24"/>
          <w:szCs w:val="24"/>
        </w:rPr>
        <w:t xml:space="preserve">2. </w:t>
      </w:r>
      <w:r w:rsidR="008227F4" w:rsidRPr="00EA26D9">
        <w:rPr>
          <w:sz w:val="24"/>
          <w:szCs w:val="24"/>
        </w:rPr>
        <w:t>Ūkio subjektų veiklos ir objektų, kuri</w:t>
      </w:r>
      <w:r w:rsidR="0002586C" w:rsidRPr="00EA26D9">
        <w:rPr>
          <w:sz w:val="24"/>
          <w:szCs w:val="24"/>
        </w:rPr>
        <w:t>u</w:t>
      </w:r>
      <w:r w:rsidR="008227F4" w:rsidRPr="00EA26D9">
        <w:rPr>
          <w:sz w:val="24"/>
          <w:szCs w:val="24"/>
        </w:rPr>
        <w:t xml:space="preserve">ose palankios sąlygos kenksmingiesiems organizmams plisti, rizikos vertinimo </w:t>
      </w:r>
      <w:r w:rsidR="00FA19A0" w:rsidRPr="00EA26D9">
        <w:rPr>
          <w:sz w:val="24"/>
          <w:szCs w:val="24"/>
        </w:rPr>
        <w:t>tikslas –</w:t>
      </w:r>
      <w:r w:rsidR="00320893" w:rsidRPr="00EA26D9">
        <w:rPr>
          <w:sz w:val="24"/>
          <w:szCs w:val="24"/>
        </w:rPr>
        <w:t xml:space="preserve"> </w:t>
      </w:r>
      <w:r w:rsidR="00846590" w:rsidRPr="00EA26D9">
        <w:rPr>
          <w:sz w:val="24"/>
          <w:szCs w:val="24"/>
        </w:rPr>
        <w:t xml:space="preserve">nustatyti </w:t>
      </w:r>
      <w:r w:rsidR="00795DB5" w:rsidRPr="00795DB5">
        <w:rPr>
          <w:sz w:val="24"/>
          <w:szCs w:val="24"/>
        </w:rPr>
        <w:t xml:space="preserve">šių organizmų pasireiškimo grėsmes </w:t>
      </w:r>
      <w:r w:rsidR="00846590" w:rsidRPr="00EA26D9">
        <w:rPr>
          <w:sz w:val="24"/>
          <w:szCs w:val="24"/>
        </w:rPr>
        <w:t>ūkio subjektų</w:t>
      </w:r>
      <w:r w:rsidR="00795DB5">
        <w:rPr>
          <w:sz w:val="24"/>
          <w:szCs w:val="24"/>
        </w:rPr>
        <w:t xml:space="preserve"> valdose</w:t>
      </w:r>
      <w:r w:rsidR="004E52BE" w:rsidRPr="00EA26D9">
        <w:rPr>
          <w:sz w:val="24"/>
          <w:szCs w:val="24"/>
        </w:rPr>
        <w:t xml:space="preserve"> ir objektų</w:t>
      </w:r>
      <w:r w:rsidR="00795DB5">
        <w:rPr>
          <w:sz w:val="24"/>
          <w:szCs w:val="24"/>
        </w:rPr>
        <w:t xml:space="preserve"> teritorijose</w:t>
      </w:r>
      <w:r w:rsidR="00846590" w:rsidRPr="00EA26D9">
        <w:rPr>
          <w:sz w:val="24"/>
          <w:szCs w:val="24"/>
        </w:rPr>
        <w:t xml:space="preserve"> bei, atsižvelgiant į nustatytą rizikos lygį, planuoti ūkio </w:t>
      </w:r>
      <w:r w:rsidR="00795DB5" w:rsidRPr="00EA26D9">
        <w:rPr>
          <w:sz w:val="24"/>
          <w:szCs w:val="24"/>
        </w:rPr>
        <w:t>subjekt</w:t>
      </w:r>
      <w:r w:rsidR="00795DB5">
        <w:rPr>
          <w:sz w:val="24"/>
          <w:szCs w:val="24"/>
        </w:rPr>
        <w:t>ų</w:t>
      </w:r>
      <w:r w:rsidR="00795DB5" w:rsidRPr="00EA26D9">
        <w:rPr>
          <w:sz w:val="24"/>
          <w:szCs w:val="24"/>
        </w:rPr>
        <w:t xml:space="preserve"> </w:t>
      </w:r>
      <w:r w:rsidR="00795DB5">
        <w:rPr>
          <w:sz w:val="24"/>
          <w:szCs w:val="24"/>
        </w:rPr>
        <w:t>i</w:t>
      </w:r>
      <w:r w:rsidR="00795DB5" w:rsidRPr="00EA26D9">
        <w:rPr>
          <w:sz w:val="24"/>
          <w:szCs w:val="24"/>
        </w:rPr>
        <w:t>r objekt</w:t>
      </w:r>
      <w:r w:rsidR="00795DB5">
        <w:rPr>
          <w:sz w:val="24"/>
          <w:szCs w:val="24"/>
        </w:rPr>
        <w:t>ų</w:t>
      </w:r>
      <w:r w:rsidR="00D40691" w:rsidRPr="00EA26D9">
        <w:rPr>
          <w:sz w:val="24"/>
          <w:szCs w:val="24"/>
        </w:rPr>
        <w:t xml:space="preserve"> </w:t>
      </w:r>
      <w:r w:rsidR="00846590" w:rsidRPr="00EA26D9">
        <w:rPr>
          <w:sz w:val="24"/>
          <w:szCs w:val="24"/>
        </w:rPr>
        <w:t xml:space="preserve">priežiūros priemones. Ūkio subjekto veiklos </w:t>
      </w:r>
      <w:r w:rsidR="00F375A3" w:rsidRPr="00EA26D9">
        <w:rPr>
          <w:sz w:val="24"/>
          <w:szCs w:val="24"/>
        </w:rPr>
        <w:t xml:space="preserve">ir objekto, </w:t>
      </w:r>
      <w:r w:rsidR="00D40691" w:rsidRPr="00EA26D9">
        <w:rPr>
          <w:sz w:val="24"/>
          <w:szCs w:val="24"/>
        </w:rPr>
        <w:t xml:space="preserve">kuriame palankios sąlygos kenksmingiesiems organizmams plisti, </w:t>
      </w:r>
      <w:r w:rsidR="007F5C48" w:rsidRPr="00EA26D9">
        <w:rPr>
          <w:sz w:val="24"/>
          <w:szCs w:val="24"/>
        </w:rPr>
        <w:t xml:space="preserve">patikrinimų poreikis ir dažnumas grindžiamas </w:t>
      </w:r>
      <w:r w:rsidR="00846590" w:rsidRPr="00EA26D9">
        <w:rPr>
          <w:sz w:val="24"/>
          <w:szCs w:val="24"/>
        </w:rPr>
        <w:t>rizikos vertinimo rezultatais.</w:t>
      </w:r>
    </w:p>
    <w:p w14:paraId="049C482F" w14:textId="77777777" w:rsidR="00B56F5F" w:rsidRPr="00EA26D9" w:rsidRDefault="00B56F5F" w:rsidP="008D0C96">
      <w:pPr>
        <w:pStyle w:val="Paprastasistekstas"/>
        <w:spacing w:line="360" w:lineRule="auto"/>
        <w:ind w:firstLine="851"/>
        <w:jc w:val="both"/>
        <w:rPr>
          <w:rFonts w:ascii="Times New Roman" w:hAnsi="Times New Roman"/>
          <w:sz w:val="24"/>
          <w:szCs w:val="24"/>
        </w:rPr>
      </w:pPr>
      <w:r w:rsidRPr="00EA26D9">
        <w:rPr>
          <w:rFonts w:ascii="Times New Roman" w:hAnsi="Times New Roman"/>
          <w:sz w:val="24"/>
          <w:szCs w:val="24"/>
        </w:rPr>
        <w:t xml:space="preserve">3. </w:t>
      </w:r>
      <w:r w:rsidR="008D0C96" w:rsidRPr="00EA26D9">
        <w:rPr>
          <w:rFonts w:ascii="Times New Roman" w:hAnsi="Times New Roman"/>
          <w:sz w:val="24"/>
          <w:szCs w:val="24"/>
        </w:rPr>
        <w:t>Ūkio subjektų veiklos ir objektų, kuriuose palankios sąlygos kenksmingiesiems organizmams plisti, neplaniniai patikrinimai atliekami Valstybinės augalininkystės tarnybos prie Žemės ūkio ministerijos atliekamos ūkio subjektų veiklos priežiūros taisyklių, patvirtintų Valstybinės augalininkystės tarnybos prie Žemės ūkio ministerijos direktoriaus 2011 m. liepos 5 d. įsakymu Nr.</w:t>
      </w:r>
      <w:r w:rsidR="008D79F7">
        <w:rPr>
          <w:rFonts w:ascii="Times New Roman" w:hAnsi="Times New Roman"/>
          <w:sz w:val="24"/>
          <w:szCs w:val="24"/>
        </w:rPr>
        <w:t> </w:t>
      </w:r>
      <w:r w:rsidR="008D0C96" w:rsidRPr="00EA26D9">
        <w:rPr>
          <w:rFonts w:ascii="Times New Roman" w:hAnsi="Times New Roman"/>
          <w:sz w:val="24"/>
          <w:szCs w:val="24"/>
        </w:rPr>
        <w:t>A1-218 „Dėl Valstybinės augalininkystės tarnybos prie Žemės ūkio ministerijos atliekamos ūkio subjektų veiklos priežiūros taisyklių patvirtinimo“</w:t>
      </w:r>
      <w:r w:rsidR="00D37A20">
        <w:rPr>
          <w:rFonts w:ascii="Times New Roman" w:hAnsi="Times New Roman"/>
          <w:sz w:val="24"/>
          <w:szCs w:val="24"/>
        </w:rPr>
        <w:t xml:space="preserve"> </w:t>
      </w:r>
      <w:r w:rsidR="00D37A20" w:rsidRPr="00D46BD9">
        <w:rPr>
          <w:rFonts w:ascii="Times New Roman" w:hAnsi="Times New Roman"/>
          <w:sz w:val="24"/>
          <w:szCs w:val="24"/>
        </w:rPr>
        <w:t>(toliau – Ūkio subjektų veiklos priežiūros taisyklės)</w:t>
      </w:r>
      <w:r w:rsidR="008D79F7">
        <w:rPr>
          <w:rFonts w:ascii="Times New Roman" w:hAnsi="Times New Roman"/>
          <w:sz w:val="24"/>
          <w:szCs w:val="24"/>
        </w:rPr>
        <w:t>,</w:t>
      </w:r>
      <w:r w:rsidR="008D0C96" w:rsidRPr="00EA26D9">
        <w:rPr>
          <w:rFonts w:ascii="Times New Roman" w:hAnsi="Times New Roman"/>
          <w:sz w:val="24"/>
          <w:szCs w:val="24"/>
        </w:rPr>
        <w:t xml:space="preserve"> nustatyta tvarka.</w:t>
      </w:r>
    </w:p>
    <w:p w14:paraId="7A89D384" w14:textId="77777777" w:rsidR="005D329C" w:rsidRPr="00EA26D9" w:rsidRDefault="005D329C" w:rsidP="005D329C">
      <w:pPr>
        <w:jc w:val="center"/>
        <w:rPr>
          <w:b/>
        </w:rPr>
      </w:pPr>
    </w:p>
    <w:p w14:paraId="148461BF" w14:textId="77777777" w:rsidR="005D329C" w:rsidRPr="00EA26D9" w:rsidRDefault="005D329C" w:rsidP="005D329C">
      <w:pPr>
        <w:jc w:val="center"/>
        <w:rPr>
          <w:b/>
        </w:rPr>
      </w:pPr>
      <w:r w:rsidRPr="00EA26D9">
        <w:rPr>
          <w:b/>
        </w:rPr>
        <w:t>II SKYRIUS</w:t>
      </w:r>
    </w:p>
    <w:p w14:paraId="35A69A5A" w14:textId="77777777" w:rsidR="00A50894" w:rsidRPr="00EA26D9" w:rsidRDefault="005D329C" w:rsidP="005D329C">
      <w:pPr>
        <w:jc w:val="center"/>
        <w:rPr>
          <w:b/>
        </w:rPr>
      </w:pPr>
      <w:r w:rsidRPr="00EA26D9">
        <w:t xml:space="preserve"> </w:t>
      </w:r>
      <w:r w:rsidRPr="00EA26D9">
        <w:rPr>
          <w:b/>
        </w:rPr>
        <w:t xml:space="preserve">ŪKIO SUBJEKTŲ </w:t>
      </w:r>
      <w:r w:rsidR="00037AD7" w:rsidRPr="00EA26D9">
        <w:rPr>
          <w:b/>
        </w:rPr>
        <w:t xml:space="preserve">VEIKLOS </w:t>
      </w:r>
      <w:r w:rsidRPr="00EA26D9">
        <w:rPr>
          <w:b/>
        </w:rPr>
        <w:t>IR OBJEKTŲ</w:t>
      </w:r>
      <w:r w:rsidR="00664157" w:rsidRPr="00EA26D9">
        <w:rPr>
          <w:b/>
        </w:rPr>
        <w:t>, KURIUOSE PALANKIOS SĄLYGOS KENKSMINGIEMS ORGANIZMAMS PLISTI,</w:t>
      </w:r>
      <w:r w:rsidRPr="00EA26D9">
        <w:rPr>
          <w:b/>
        </w:rPr>
        <w:t xml:space="preserve"> RIZIK</w:t>
      </w:r>
      <w:r w:rsidR="00480064" w:rsidRPr="00EA26D9">
        <w:rPr>
          <w:b/>
        </w:rPr>
        <w:t>OS</w:t>
      </w:r>
      <w:r w:rsidRPr="00EA26D9">
        <w:rPr>
          <w:b/>
        </w:rPr>
        <w:t xml:space="preserve"> </w:t>
      </w:r>
      <w:r w:rsidR="00480064" w:rsidRPr="00EA26D9">
        <w:rPr>
          <w:b/>
        </w:rPr>
        <w:t>VERTINIM</w:t>
      </w:r>
      <w:r w:rsidR="00E27E63" w:rsidRPr="00EA26D9">
        <w:rPr>
          <w:b/>
        </w:rPr>
        <w:t>AS</w:t>
      </w:r>
    </w:p>
    <w:p w14:paraId="537C50DA" w14:textId="77777777" w:rsidR="005D329C" w:rsidRPr="00EA26D9" w:rsidRDefault="005D329C" w:rsidP="005D329C">
      <w:pPr>
        <w:jc w:val="center"/>
        <w:rPr>
          <w:b/>
        </w:rPr>
      </w:pPr>
    </w:p>
    <w:p w14:paraId="63369316" w14:textId="77777777" w:rsidR="005D329C" w:rsidRDefault="008D0C96" w:rsidP="005D329C">
      <w:pPr>
        <w:spacing w:line="360" w:lineRule="auto"/>
        <w:ind w:firstLine="851"/>
        <w:jc w:val="both"/>
      </w:pPr>
      <w:r w:rsidRPr="00EA26D9">
        <w:t>4</w:t>
      </w:r>
      <w:r w:rsidR="005D329C" w:rsidRPr="00EA26D9">
        <w:t xml:space="preserve">. </w:t>
      </w:r>
      <w:proofErr w:type="spellStart"/>
      <w:r w:rsidR="00436898" w:rsidRPr="00A76E66">
        <w:rPr>
          <w:iCs/>
        </w:rPr>
        <w:t>Fitosanitarijos</w:t>
      </w:r>
      <w:proofErr w:type="spellEnd"/>
      <w:r w:rsidR="00436898" w:rsidRPr="00A76E66">
        <w:rPr>
          <w:iCs/>
        </w:rPr>
        <w:t xml:space="preserve"> skyriaus vedėjo paskirti specialistai </w:t>
      </w:r>
      <w:r w:rsidR="00436898" w:rsidRPr="00D84347">
        <w:rPr>
          <w:iCs/>
        </w:rPr>
        <w:t>atlieka ūkio</w:t>
      </w:r>
      <w:r w:rsidR="00436898" w:rsidRPr="00A76E66">
        <w:rPr>
          <w:iCs/>
        </w:rPr>
        <w:t xml:space="preserve"> subjektų veiklos ir objektų, kuriuose palankios sąlygos kenksmingiesiems organizmams plisti</w:t>
      </w:r>
      <w:r w:rsidR="00436898" w:rsidRPr="00D84347">
        <w:rPr>
          <w:iCs/>
        </w:rPr>
        <w:t xml:space="preserve">, rizikos vertinimus </w:t>
      </w:r>
      <w:r w:rsidR="00436898" w:rsidRPr="00D84347">
        <w:rPr>
          <w:color w:val="000000"/>
        </w:rPr>
        <w:t>vadovaudamiesi Bendrųjų rizikų valdymo principų tvarkos aprašo, patvirtinto</w:t>
      </w:r>
      <w:r w:rsidR="00436898" w:rsidRPr="00D84347">
        <w:t xml:space="preserve"> </w:t>
      </w:r>
      <w:r w:rsidR="00436898" w:rsidRPr="00D84347">
        <w:rPr>
          <w:color w:val="000000"/>
        </w:rPr>
        <w:t xml:space="preserve">Valstybinės augalininkystės tarnybos prie Žemės ūkio ministerijos direktoriaus 2021 m. spalio 27 d. įsakymu Nr. A1-638 „Dėl Bendrųjų rizikų valdymo principų tvarkos aprašo patvirtinimo“ (toliau – Bendrųjų rizikų valdymo principų tvarkos aprašas), 6 punkte nurodytu </w:t>
      </w:r>
      <w:r w:rsidR="00436898" w:rsidRPr="00D84347">
        <w:t>Individualios rizikos vertinimo principu</w:t>
      </w:r>
      <w:r w:rsidR="005D329C" w:rsidRPr="00EA26D9">
        <w:t xml:space="preserve">. </w:t>
      </w:r>
    </w:p>
    <w:p w14:paraId="3FB58F4E" w14:textId="77777777" w:rsidR="00B948DB" w:rsidRPr="00D13D14" w:rsidRDefault="00B948DB" w:rsidP="00B948DB">
      <w:pPr>
        <w:pStyle w:val="Sraopastraipa"/>
        <w:spacing w:after="0" w:line="360" w:lineRule="auto"/>
        <w:ind w:left="0"/>
        <w:jc w:val="both"/>
        <w:rPr>
          <w:rFonts w:ascii="Times New Roman" w:hAnsi="Times New Roman"/>
          <w:i/>
          <w:sz w:val="20"/>
          <w:szCs w:val="20"/>
        </w:rPr>
      </w:pPr>
      <w:r w:rsidRPr="00D13D14">
        <w:rPr>
          <w:rFonts w:ascii="Times New Roman" w:hAnsi="Times New Roman"/>
          <w:i/>
          <w:sz w:val="20"/>
          <w:szCs w:val="20"/>
        </w:rPr>
        <w:t>Pakeitimai:</w:t>
      </w:r>
    </w:p>
    <w:p w14:paraId="334774C9" w14:textId="77777777" w:rsidR="00B948DB" w:rsidRPr="00D13D14" w:rsidRDefault="00B948DB" w:rsidP="00B948DB">
      <w:pPr>
        <w:pStyle w:val="Sraopastraipa"/>
        <w:spacing w:after="0" w:line="360" w:lineRule="auto"/>
        <w:ind w:left="0"/>
        <w:jc w:val="both"/>
        <w:rPr>
          <w:rFonts w:ascii="Times New Roman" w:hAnsi="Times New Roman"/>
          <w:i/>
          <w:sz w:val="20"/>
          <w:szCs w:val="20"/>
        </w:rPr>
      </w:pPr>
      <w:r w:rsidRPr="00D13D14">
        <w:rPr>
          <w:rFonts w:ascii="Times New Roman" w:hAnsi="Times New Roman"/>
          <w:i/>
          <w:sz w:val="20"/>
          <w:szCs w:val="20"/>
        </w:rPr>
        <w:t>2021 m. lapkričio 30 d. įsakymas Nr. A1-705</w:t>
      </w:r>
    </w:p>
    <w:p w14:paraId="57580781" w14:textId="77777777" w:rsidR="005D329C" w:rsidRPr="00EA26D9" w:rsidRDefault="00355B5B" w:rsidP="005D329C">
      <w:pPr>
        <w:spacing w:line="360" w:lineRule="auto"/>
        <w:ind w:firstLine="851"/>
        <w:jc w:val="both"/>
      </w:pPr>
      <w:r w:rsidRPr="00EA26D9">
        <w:t>5</w:t>
      </w:r>
      <w:r w:rsidR="005D329C" w:rsidRPr="00EA26D9">
        <w:t xml:space="preserve">. Ūkio subjektų </w:t>
      </w:r>
      <w:r w:rsidR="00B421FC" w:rsidRPr="00EA26D9">
        <w:t xml:space="preserve">veiklos </w:t>
      </w:r>
      <w:r w:rsidR="005D329C" w:rsidRPr="00EA26D9">
        <w:t>ir objektų</w:t>
      </w:r>
      <w:r w:rsidR="006704C2" w:rsidRPr="00EA26D9">
        <w:t>, kuri</w:t>
      </w:r>
      <w:r w:rsidR="0002586C" w:rsidRPr="00EA26D9">
        <w:t>u</w:t>
      </w:r>
      <w:r w:rsidR="006704C2" w:rsidRPr="00EA26D9">
        <w:t>ose palankios sąlygos kenksmingiesiems organizmams plisti,</w:t>
      </w:r>
      <w:r w:rsidR="005D329C" w:rsidRPr="00EA26D9">
        <w:t xml:space="preserve"> rizikos vertinimai atliekami kiekvienais </w:t>
      </w:r>
      <w:r w:rsidR="00D9406E" w:rsidRPr="00EA26D9">
        <w:t xml:space="preserve">kalendoriniais </w:t>
      </w:r>
      <w:r w:rsidR="005D329C" w:rsidRPr="00EA26D9">
        <w:t xml:space="preserve">metais iki lapkričio </w:t>
      </w:r>
      <w:r w:rsidR="00D46BD9">
        <w:t>2</w:t>
      </w:r>
      <w:r w:rsidR="005D329C" w:rsidRPr="00EA26D9">
        <w:t xml:space="preserve">5 d. </w:t>
      </w:r>
    </w:p>
    <w:p w14:paraId="6724BA73" w14:textId="77777777" w:rsidR="005D329C" w:rsidRPr="00EA26D9" w:rsidRDefault="00355B5B" w:rsidP="005D329C">
      <w:pPr>
        <w:spacing w:line="360" w:lineRule="auto"/>
        <w:ind w:firstLine="851"/>
        <w:jc w:val="both"/>
      </w:pPr>
      <w:r w:rsidRPr="00EA26D9">
        <w:t>6</w:t>
      </w:r>
      <w:r w:rsidR="005D329C" w:rsidRPr="00EA26D9">
        <w:t xml:space="preserve">. </w:t>
      </w:r>
      <w:r w:rsidR="00D9406E" w:rsidRPr="00EA26D9">
        <w:t>R</w:t>
      </w:r>
      <w:r w:rsidR="005D329C" w:rsidRPr="00EA26D9">
        <w:t>izikai įvertinti taikomi kriterijai:</w:t>
      </w:r>
      <w:r w:rsidR="00E2026C" w:rsidRPr="00EA26D9" w:rsidDel="00081638">
        <w:t xml:space="preserve"> </w:t>
      </w:r>
    </w:p>
    <w:p w14:paraId="0711BEC6" w14:textId="77777777" w:rsidR="00FA627D" w:rsidRPr="00EA26D9" w:rsidRDefault="00355B5B" w:rsidP="005D329C">
      <w:pPr>
        <w:spacing w:line="360" w:lineRule="auto"/>
        <w:ind w:firstLine="851"/>
        <w:jc w:val="both"/>
      </w:pPr>
      <w:r w:rsidRPr="00EA26D9">
        <w:t>6</w:t>
      </w:r>
      <w:r w:rsidR="005D329C" w:rsidRPr="00EA26D9">
        <w:t xml:space="preserve">.1. </w:t>
      </w:r>
      <w:r w:rsidR="00081638" w:rsidRPr="00EA26D9">
        <w:t>ūkio subjektų veiklai</w:t>
      </w:r>
      <w:r w:rsidR="00FA627D" w:rsidRPr="00EA26D9">
        <w:t>:</w:t>
      </w:r>
      <w:r w:rsidR="005D329C" w:rsidRPr="00EA26D9">
        <w:t xml:space="preserve"> </w:t>
      </w:r>
    </w:p>
    <w:p w14:paraId="4ED0621C" w14:textId="77777777" w:rsidR="005D329C" w:rsidRPr="00EA26D9" w:rsidRDefault="00355B5B" w:rsidP="005D329C">
      <w:pPr>
        <w:spacing w:line="360" w:lineRule="auto"/>
        <w:ind w:firstLine="851"/>
        <w:jc w:val="both"/>
      </w:pPr>
      <w:r w:rsidRPr="00EA26D9">
        <w:t>6</w:t>
      </w:r>
      <w:r w:rsidR="00FA627D" w:rsidRPr="00EA26D9">
        <w:t xml:space="preserve">.1.1. </w:t>
      </w:r>
      <w:r w:rsidR="005D329C" w:rsidRPr="00EA26D9">
        <w:t xml:space="preserve">vykdomų veiklų pobūdis; </w:t>
      </w:r>
    </w:p>
    <w:p w14:paraId="2B509E25" w14:textId="77777777" w:rsidR="005D329C" w:rsidRPr="00EA26D9" w:rsidRDefault="00355B5B" w:rsidP="005D329C">
      <w:pPr>
        <w:spacing w:line="360" w:lineRule="auto"/>
        <w:ind w:firstLine="851"/>
        <w:jc w:val="both"/>
      </w:pPr>
      <w:r w:rsidRPr="00EA26D9">
        <w:t>6</w:t>
      </w:r>
      <w:r w:rsidR="005D329C" w:rsidRPr="00EA26D9">
        <w:t>.</w:t>
      </w:r>
      <w:r w:rsidR="00FA627D" w:rsidRPr="00EA26D9">
        <w:t>1.</w:t>
      </w:r>
      <w:r w:rsidR="005D329C" w:rsidRPr="00EA26D9">
        <w:t>2. prižiūrimų augalų auginimo pobūdis;</w:t>
      </w:r>
    </w:p>
    <w:p w14:paraId="4ECFC057" w14:textId="77777777" w:rsidR="005D329C" w:rsidRPr="00EA26D9" w:rsidRDefault="00355B5B" w:rsidP="005D329C">
      <w:pPr>
        <w:spacing w:line="360" w:lineRule="auto"/>
        <w:ind w:firstLine="851"/>
        <w:jc w:val="both"/>
      </w:pPr>
      <w:r w:rsidRPr="00EA26D9">
        <w:t>6</w:t>
      </w:r>
      <w:r w:rsidR="005D329C" w:rsidRPr="00EA26D9">
        <w:t>.</w:t>
      </w:r>
      <w:r w:rsidR="00FA627D" w:rsidRPr="00EA26D9">
        <w:t>1.</w:t>
      </w:r>
      <w:r w:rsidR="005D329C" w:rsidRPr="00EA26D9">
        <w:t>3. rinkai tiekiamų augalų, augalinių produktų kiekis (vnt., kg, m</w:t>
      </w:r>
      <w:r w:rsidR="005D329C" w:rsidRPr="00EA26D9">
        <w:rPr>
          <w:vertAlign w:val="superscript"/>
        </w:rPr>
        <w:t>3</w:t>
      </w:r>
      <w:r w:rsidR="005D329C" w:rsidRPr="00EA26D9">
        <w:t xml:space="preserve">) per </w:t>
      </w:r>
      <w:r w:rsidR="001240FF" w:rsidRPr="00EA26D9">
        <w:t xml:space="preserve">kalendorinius </w:t>
      </w:r>
      <w:r w:rsidR="005D329C" w:rsidRPr="00EA26D9">
        <w:t>metus;</w:t>
      </w:r>
    </w:p>
    <w:p w14:paraId="7217235D" w14:textId="77777777" w:rsidR="00AA6080" w:rsidRPr="008313DC" w:rsidRDefault="00AA6080" w:rsidP="00AA6080">
      <w:pPr>
        <w:pStyle w:val="Sraopastraipa"/>
        <w:spacing w:after="0" w:line="360" w:lineRule="auto"/>
        <w:ind w:left="0"/>
        <w:jc w:val="both"/>
        <w:rPr>
          <w:rFonts w:ascii="Times New Roman" w:hAnsi="Times New Roman"/>
          <w:i/>
          <w:sz w:val="20"/>
          <w:szCs w:val="20"/>
        </w:rPr>
      </w:pPr>
      <w:bookmarkStart w:id="0" w:name="_Hlk152766706"/>
      <w:r w:rsidRPr="008313DC">
        <w:rPr>
          <w:rFonts w:ascii="Times New Roman" w:hAnsi="Times New Roman"/>
          <w:i/>
          <w:sz w:val="20"/>
          <w:szCs w:val="20"/>
        </w:rPr>
        <w:t>Pakeitimai:</w:t>
      </w:r>
    </w:p>
    <w:p w14:paraId="1312ADB6" w14:textId="1646B0E2" w:rsidR="005D329C" w:rsidRPr="00EA26D9" w:rsidRDefault="00AA6080" w:rsidP="00AA6080">
      <w:pPr>
        <w:spacing w:line="360" w:lineRule="auto"/>
        <w:jc w:val="both"/>
      </w:pPr>
      <w:r w:rsidRPr="008313DC">
        <w:rPr>
          <w:i/>
          <w:sz w:val="20"/>
          <w:szCs w:val="20"/>
        </w:rPr>
        <w:t>202</w:t>
      </w:r>
      <w:r>
        <w:rPr>
          <w:i/>
          <w:sz w:val="20"/>
          <w:szCs w:val="20"/>
        </w:rPr>
        <w:t>3</w:t>
      </w:r>
      <w:r w:rsidRPr="008313DC">
        <w:rPr>
          <w:i/>
          <w:sz w:val="20"/>
          <w:szCs w:val="20"/>
        </w:rPr>
        <w:t xml:space="preserve"> m. </w:t>
      </w:r>
      <w:r>
        <w:rPr>
          <w:i/>
          <w:sz w:val="20"/>
          <w:szCs w:val="20"/>
        </w:rPr>
        <w:t>spalio</w:t>
      </w:r>
      <w:r w:rsidRPr="008313DC">
        <w:rPr>
          <w:i/>
          <w:sz w:val="20"/>
          <w:szCs w:val="20"/>
        </w:rPr>
        <w:t xml:space="preserve"> 3</w:t>
      </w:r>
      <w:r>
        <w:rPr>
          <w:i/>
          <w:sz w:val="20"/>
          <w:szCs w:val="20"/>
        </w:rPr>
        <w:t>1</w:t>
      </w:r>
      <w:r w:rsidRPr="008313DC">
        <w:rPr>
          <w:i/>
          <w:sz w:val="20"/>
          <w:szCs w:val="20"/>
        </w:rPr>
        <w:t xml:space="preserve"> d. įsakymas Nr. A1-</w:t>
      </w:r>
      <w:r>
        <w:rPr>
          <w:i/>
          <w:sz w:val="20"/>
          <w:szCs w:val="20"/>
        </w:rPr>
        <w:t>646</w:t>
      </w:r>
      <w:bookmarkEnd w:id="0"/>
    </w:p>
    <w:p w14:paraId="4E9EEC5E" w14:textId="77777777" w:rsidR="00122E4B" w:rsidRPr="00EA26D9" w:rsidRDefault="00355B5B" w:rsidP="005D329C">
      <w:pPr>
        <w:spacing w:line="360" w:lineRule="auto"/>
        <w:ind w:firstLine="851"/>
        <w:jc w:val="both"/>
      </w:pPr>
      <w:r w:rsidRPr="00EA26D9">
        <w:t>6</w:t>
      </w:r>
      <w:r w:rsidR="005D329C" w:rsidRPr="00EA26D9">
        <w:t>.</w:t>
      </w:r>
      <w:r w:rsidR="00FA627D" w:rsidRPr="00EA26D9">
        <w:t>2</w:t>
      </w:r>
      <w:r w:rsidR="005D329C" w:rsidRPr="00EA26D9">
        <w:t xml:space="preserve">. </w:t>
      </w:r>
      <w:r w:rsidR="00871D2D" w:rsidRPr="00EA26D9">
        <w:t>objekt</w:t>
      </w:r>
      <w:r w:rsidR="00E2026C" w:rsidRPr="00EA26D9">
        <w:t>ų</w:t>
      </w:r>
      <w:r w:rsidR="00C307BE" w:rsidRPr="00EA26D9">
        <w:t>,</w:t>
      </w:r>
      <w:r w:rsidR="00FA627D" w:rsidRPr="00EA26D9">
        <w:t xml:space="preserve"> kuriuose palankios sąlygos kenksmingiesiems organizmams plisti</w:t>
      </w:r>
      <w:r w:rsidR="00122E4B" w:rsidRPr="00EA26D9">
        <w:t>:</w:t>
      </w:r>
    </w:p>
    <w:p w14:paraId="41DEB667" w14:textId="77777777" w:rsidR="00B948DB" w:rsidRDefault="00355B5B" w:rsidP="00B948DB">
      <w:pPr>
        <w:spacing w:line="360" w:lineRule="auto"/>
        <w:ind w:firstLine="851"/>
        <w:jc w:val="both"/>
      </w:pPr>
      <w:r w:rsidRPr="00EA26D9">
        <w:t>6</w:t>
      </w:r>
      <w:r w:rsidR="00122E4B" w:rsidRPr="00EA26D9">
        <w:t>.2.1. prižiūrimų augalų auginimo pobūdis</w:t>
      </w:r>
      <w:r w:rsidR="002151EB" w:rsidRPr="00EA26D9">
        <w:t>;</w:t>
      </w:r>
    </w:p>
    <w:p w14:paraId="0A34CABB" w14:textId="77777777" w:rsidR="00AA6080" w:rsidRPr="008313DC" w:rsidRDefault="00AA6080" w:rsidP="00AA6080">
      <w:pPr>
        <w:pStyle w:val="Sraopastraipa"/>
        <w:spacing w:after="0" w:line="360" w:lineRule="auto"/>
        <w:ind w:left="0"/>
        <w:jc w:val="both"/>
        <w:rPr>
          <w:rFonts w:ascii="Times New Roman" w:hAnsi="Times New Roman"/>
          <w:i/>
          <w:sz w:val="20"/>
          <w:szCs w:val="20"/>
        </w:rPr>
      </w:pPr>
      <w:r w:rsidRPr="008313DC">
        <w:rPr>
          <w:rFonts w:ascii="Times New Roman" w:hAnsi="Times New Roman"/>
          <w:i/>
          <w:sz w:val="20"/>
          <w:szCs w:val="20"/>
        </w:rPr>
        <w:t>Pakeitimai:</w:t>
      </w:r>
    </w:p>
    <w:p w14:paraId="1808689C" w14:textId="26520CA6" w:rsidR="00FA627D" w:rsidRPr="00EA26D9" w:rsidRDefault="00AA6080" w:rsidP="00AA6080">
      <w:pPr>
        <w:spacing w:line="360" w:lineRule="auto"/>
        <w:jc w:val="both"/>
      </w:pPr>
      <w:r w:rsidRPr="008313DC">
        <w:rPr>
          <w:i/>
          <w:sz w:val="20"/>
          <w:szCs w:val="20"/>
        </w:rPr>
        <w:t>202</w:t>
      </w:r>
      <w:r>
        <w:rPr>
          <w:i/>
          <w:sz w:val="20"/>
          <w:szCs w:val="20"/>
        </w:rPr>
        <w:t>3</w:t>
      </w:r>
      <w:r w:rsidRPr="008313DC">
        <w:rPr>
          <w:i/>
          <w:sz w:val="20"/>
          <w:szCs w:val="20"/>
        </w:rPr>
        <w:t xml:space="preserve"> m. </w:t>
      </w:r>
      <w:r>
        <w:rPr>
          <w:i/>
          <w:sz w:val="20"/>
          <w:szCs w:val="20"/>
        </w:rPr>
        <w:t>spalio</w:t>
      </w:r>
      <w:r w:rsidRPr="008313DC">
        <w:rPr>
          <w:i/>
          <w:sz w:val="20"/>
          <w:szCs w:val="20"/>
        </w:rPr>
        <w:t xml:space="preserve"> 3</w:t>
      </w:r>
      <w:r>
        <w:rPr>
          <w:i/>
          <w:sz w:val="20"/>
          <w:szCs w:val="20"/>
        </w:rPr>
        <w:t>1</w:t>
      </w:r>
      <w:r w:rsidRPr="008313DC">
        <w:rPr>
          <w:i/>
          <w:sz w:val="20"/>
          <w:szCs w:val="20"/>
        </w:rPr>
        <w:t xml:space="preserve"> d. įsakymas Nr. A1-</w:t>
      </w:r>
      <w:r>
        <w:rPr>
          <w:i/>
          <w:sz w:val="20"/>
          <w:szCs w:val="20"/>
        </w:rPr>
        <w:t>646</w:t>
      </w:r>
    </w:p>
    <w:p w14:paraId="15A1DE53" w14:textId="77777777" w:rsidR="002151EB" w:rsidRPr="00EA26D9" w:rsidRDefault="00355B5B" w:rsidP="005D329C">
      <w:pPr>
        <w:spacing w:line="360" w:lineRule="auto"/>
        <w:ind w:firstLine="851"/>
        <w:jc w:val="both"/>
      </w:pPr>
      <w:r w:rsidRPr="00EA26D9">
        <w:t>6</w:t>
      </w:r>
      <w:r w:rsidR="00C906AA" w:rsidRPr="00EA26D9">
        <w:t>.2.3.</w:t>
      </w:r>
      <w:r w:rsidR="00871D2D" w:rsidRPr="00EA26D9">
        <w:t xml:space="preserve"> </w:t>
      </w:r>
      <w:r w:rsidR="005D329C" w:rsidRPr="00EA26D9">
        <w:t>paskirtis</w:t>
      </w:r>
      <w:r w:rsidR="002151EB" w:rsidRPr="00EA26D9">
        <w:t>.</w:t>
      </w:r>
    </w:p>
    <w:p w14:paraId="7DDACBB9" w14:textId="77777777" w:rsidR="005D329C" w:rsidRPr="00EA26D9" w:rsidRDefault="00355B5B" w:rsidP="005D329C">
      <w:pPr>
        <w:spacing w:line="360" w:lineRule="auto"/>
        <w:ind w:firstLine="851"/>
        <w:jc w:val="both"/>
      </w:pPr>
      <w:r w:rsidRPr="00EA26D9">
        <w:t>7</w:t>
      </w:r>
      <w:r w:rsidR="005D329C" w:rsidRPr="00EA26D9">
        <w:t xml:space="preserve">. </w:t>
      </w:r>
      <w:r w:rsidR="001240FF" w:rsidRPr="00EA26D9">
        <w:t>R</w:t>
      </w:r>
      <w:r w:rsidR="005D329C" w:rsidRPr="00EA26D9">
        <w:t>izikai įvertinti taikom</w:t>
      </w:r>
      <w:r w:rsidR="002151EB" w:rsidRPr="00EA26D9">
        <w:t>ų</w:t>
      </w:r>
      <w:r w:rsidR="005D329C" w:rsidRPr="00EA26D9">
        <w:t xml:space="preserve"> </w:t>
      </w:r>
      <w:r w:rsidR="002151EB" w:rsidRPr="00EA26D9">
        <w:t xml:space="preserve">kriterijų </w:t>
      </w:r>
      <w:r w:rsidR="005D329C" w:rsidRPr="00EA26D9">
        <w:t xml:space="preserve">vertės balais pateikiamos </w:t>
      </w:r>
      <w:r w:rsidR="00A82F39" w:rsidRPr="00EA26D9">
        <w:t xml:space="preserve">šio </w:t>
      </w:r>
      <w:r w:rsidR="005D329C" w:rsidRPr="00EA26D9">
        <w:t>aprašo 1 priede.</w:t>
      </w:r>
    </w:p>
    <w:p w14:paraId="4DC6738A" w14:textId="77777777" w:rsidR="005D329C" w:rsidRPr="00EA26D9" w:rsidRDefault="00355B5B" w:rsidP="005D329C">
      <w:pPr>
        <w:spacing w:line="360" w:lineRule="auto"/>
        <w:ind w:firstLine="851"/>
        <w:jc w:val="both"/>
      </w:pPr>
      <w:r w:rsidRPr="00EA26D9">
        <w:t>8</w:t>
      </w:r>
      <w:r w:rsidR="005D329C" w:rsidRPr="00EA26D9">
        <w:t xml:space="preserve">. Atliekant ūkio subjektų </w:t>
      </w:r>
      <w:r w:rsidR="00AA46DB" w:rsidRPr="00EA26D9">
        <w:t xml:space="preserve">veiklos </w:t>
      </w:r>
      <w:r w:rsidR="005D329C" w:rsidRPr="00EA26D9">
        <w:t>ir objektų</w:t>
      </w:r>
      <w:r w:rsidR="000D1917" w:rsidRPr="00EA26D9">
        <w:t>,</w:t>
      </w:r>
      <w:r w:rsidR="00C2249B" w:rsidRPr="00EA26D9">
        <w:t xml:space="preserve"> kuriuose palankios sąlygos kenksmingiesiems organizmams plisti,</w:t>
      </w:r>
      <w:r w:rsidR="005D329C" w:rsidRPr="00EA26D9">
        <w:t xml:space="preserve"> rizikos vertinimą</w:t>
      </w:r>
      <w:r w:rsidR="00B95160">
        <w:t>,</w:t>
      </w:r>
      <w:r w:rsidR="005D329C" w:rsidRPr="00EA26D9">
        <w:t xml:space="preserve"> pildoma Fitosanitarinės rizikos</w:t>
      </w:r>
      <w:r w:rsidR="000D1917" w:rsidRPr="00EA26D9">
        <w:t xml:space="preserve"> </w:t>
      </w:r>
      <w:r w:rsidR="005D329C" w:rsidRPr="00EA26D9">
        <w:t xml:space="preserve">vertinimo suvestinė (aprašo </w:t>
      </w:r>
      <w:r w:rsidR="00E9142D" w:rsidRPr="00EA26D9">
        <w:br/>
      </w:r>
      <w:r w:rsidR="005D329C" w:rsidRPr="00EA26D9">
        <w:t>2 priedas) (toliau – suvestinė), kurioje nurodoma:</w:t>
      </w:r>
    </w:p>
    <w:p w14:paraId="514B4E5F" w14:textId="77777777" w:rsidR="005D329C" w:rsidRPr="00EA26D9" w:rsidRDefault="00355B5B" w:rsidP="005D329C">
      <w:pPr>
        <w:spacing w:line="360" w:lineRule="auto"/>
        <w:ind w:firstLine="851"/>
        <w:jc w:val="both"/>
      </w:pPr>
      <w:r w:rsidRPr="00EA26D9">
        <w:t>8</w:t>
      </w:r>
      <w:r w:rsidR="005D329C" w:rsidRPr="00EA26D9">
        <w:t>.1. ūkio subjekto vardas, pavardė ar įmonės pavadinimas</w:t>
      </w:r>
      <w:r w:rsidR="00C2249B" w:rsidRPr="00EA26D9">
        <w:t xml:space="preserve"> arba </w:t>
      </w:r>
      <w:r w:rsidR="005D329C" w:rsidRPr="00EA26D9">
        <w:t>objekto</w:t>
      </w:r>
      <w:r w:rsidR="004E5617" w:rsidRPr="00EA26D9">
        <w:t xml:space="preserve">, </w:t>
      </w:r>
      <w:r w:rsidR="00D40691" w:rsidRPr="00EA26D9">
        <w:t>kuriame palankios sąlygos kenksmingiesiems organizmams plisti</w:t>
      </w:r>
      <w:r w:rsidR="00B95160">
        <w:t>,</w:t>
      </w:r>
      <w:r w:rsidR="005D329C" w:rsidRPr="00EA26D9">
        <w:t xml:space="preserve"> pavadinimas;</w:t>
      </w:r>
    </w:p>
    <w:p w14:paraId="510A792A" w14:textId="77777777" w:rsidR="005D329C" w:rsidRPr="00EA26D9" w:rsidRDefault="00355B5B" w:rsidP="005D329C">
      <w:pPr>
        <w:spacing w:line="360" w:lineRule="auto"/>
        <w:ind w:firstLine="851"/>
        <w:jc w:val="both"/>
      </w:pPr>
      <w:r w:rsidRPr="00EA26D9">
        <w:t>8</w:t>
      </w:r>
      <w:r w:rsidR="005D329C" w:rsidRPr="00EA26D9">
        <w:t>.2. ūkio subjekto</w:t>
      </w:r>
      <w:r w:rsidR="000D1917" w:rsidRPr="00EA26D9">
        <w:t xml:space="preserve"> veiklos</w:t>
      </w:r>
      <w:r w:rsidR="005D329C" w:rsidRPr="00EA26D9">
        <w:t xml:space="preserve"> ir objekto</w:t>
      </w:r>
      <w:r w:rsidR="000D1917" w:rsidRPr="00EA26D9">
        <w:t>, kuri</w:t>
      </w:r>
      <w:r w:rsidR="00C2249B" w:rsidRPr="00EA26D9">
        <w:t>ame</w:t>
      </w:r>
      <w:r w:rsidR="000D1917" w:rsidRPr="00EA26D9">
        <w:t xml:space="preserve"> palankios sąlygos kenksmingiesiems organizmams plisti,</w:t>
      </w:r>
      <w:r w:rsidR="00C2249B" w:rsidRPr="00EA26D9">
        <w:t xml:space="preserve"> </w:t>
      </w:r>
      <w:r w:rsidR="005D329C" w:rsidRPr="00EA26D9">
        <w:t>adresas (nurodomas vadovaujantis</w:t>
      </w:r>
      <w:r w:rsidR="00360F7A" w:rsidRPr="00EA26D9">
        <w:t xml:space="preserve"> </w:t>
      </w:r>
      <w:r w:rsidR="005D329C" w:rsidRPr="00EA26D9">
        <w:t>Adresų formavimo taisyklėmis, patvirtintomis Lietuvos Respublikos Vyriausybės 2002 m. gruodžio 23 d. nutarimu Nr. 2092 „Dėl Adresų formavimo taisyklių patvirtinimo“);</w:t>
      </w:r>
    </w:p>
    <w:p w14:paraId="19D71441" w14:textId="77777777" w:rsidR="005D329C" w:rsidRPr="00EA26D9" w:rsidRDefault="00355B5B" w:rsidP="005D329C">
      <w:pPr>
        <w:spacing w:line="360" w:lineRule="auto"/>
        <w:ind w:firstLine="851"/>
        <w:jc w:val="both"/>
      </w:pPr>
      <w:r w:rsidRPr="00EA26D9">
        <w:t>8</w:t>
      </w:r>
      <w:r w:rsidR="005D329C" w:rsidRPr="00EA26D9">
        <w:t xml:space="preserve">.3. </w:t>
      </w:r>
      <w:r w:rsidR="00510CCD" w:rsidRPr="00EA26D9">
        <w:t>patikrinimo</w:t>
      </w:r>
      <w:r w:rsidR="005D329C" w:rsidRPr="00EA26D9">
        <w:t xml:space="preserve"> </w:t>
      </w:r>
      <w:r w:rsidR="0002586C" w:rsidRPr="00EA26D9">
        <w:t>tipas</w:t>
      </w:r>
      <w:r w:rsidR="005D329C" w:rsidRPr="00EA26D9">
        <w:t>;</w:t>
      </w:r>
    </w:p>
    <w:p w14:paraId="6B30CCD7" w14:textId="77777777" w:rsidR="005D329C" w:rsidRPr="00EA26D9" w:rsidRDefault="00355B5B" w:rsidP="005D329C">
      <w:pPr>
        <w:spacing w:line="360" w:lineRule="auto"/>
        <w:ind w:firstLine="851"/>
        <w:jc w:val="both"/>
      </w:pPr>
      <w:r w:rsidRPr="00EA26D9">
        <w:t>8</w:t>
      </w:r>
      <w:r w:rsidR="005D329C" w:rsidRPr="00EA26D9">
        <w:t>.4.</w:t>
      </w:r>
      <w:r w:rsidR="005E2115" w:rsidRPr="00EA26D9">
        <w:t xml:space="preserve"> </w:t>
      </w:r>
      <w:r w:rsidR="005D329C" w:rsidRPr="00EA26D9">
        <w:t>ūkio subjekt</w:t>
      </w:r>
      <w:r w:rsidR="00C2249B" w:rsidRPr="00EA26D9">
        <w:t>o veiklai</w:t>
      </w:r>
      <w:r w:rsidR="005D329C" w:rsidRPr="00EA26D9">
        <w:t xml:space="preserve"> ir objektui</w:t>
      </w:r>
      <w:r w:rsidR="00C2249B" w:rsidRPr="00EA26D9">
        <w:t>, kuriame palankios sąlygos kenksmingiesiems organizmams plisti,</w:t>
      </w:r>
      <w:r w:rsidR="005D329C" w:rsidRPr="00EA26D9">
        <w:t xml:space="preserve"> priskirtini fitosanitarinės rizikos kriterijai;</w:t>
      </w:r>
    </w:p>
    <w:p w14:paraId="4A2F3C08" w14:textId="77777777" w:rsidR="005D329C" w:rsidRPr="00EA26D9" w:rsidRDefault="00355B5B" w:rsidP="005D329C">
      <w:pPr>
        <w:spacing w:line="360" w:lineRule="auto"/>
        <w:ind w:firstLine="851"/>
        <w:jc w:val="both"/>
      </w:pPr>
      <w:r w:rsidRPr="00EA26D9">
        <w:t>8</w:t>
      </w:r>
      <w:r w:rsidR="005D329C" w:rsidRPr="00EA26D9">
        <w:t>.5. fitosanitarinės rizikos verčių balais suma;</w:t>
      </w:r>
    </w:p>
    <w:p w14:paraId="111ED65A" w14:textId="77777777" w:rsidR="005D329C" w:rsidRPr="00EA26D9" w:rsidRDefault="00355B5B" w:rsidP="005D329C">
      <w:pPr>
        <w:spacing w:line="360" w:lineRule="auto"/>
        <w:ind w:firstLine="851"/>
        <w:jc w:val="both"/>
      </w:pPr>
      <w:r w:rsidRPr="00EA26D9">
        <w:t>8</w:t>
      </w:r>
      <w:r w:rsidR="005D329C" w:rsidRPr="00EA26D9">
        <w:t>.6. ūkio subjekto</w:t>
      </w:r>
      <w:r w:rsidR="0057203A" w:rsidRPr="00EA26D9">
        <w:t xml:space="preserve"> veikl</w:t>
      </w:r>
      <w:r w:rsidR="00360F7A" w:rsidRPr="00EA26D9">
        <w:t>os</w:t>
      </w:r>
      <w:r w:rsidR="005D329C" w:rsidRPr="00EA26D9">
        <w:t xml:space="preserve"> ar objekto</w:t>
      </w:r>
      <w:r w:rsidR="0057203A" w:rsidRPr="00EA26D9">
        <w:t>, kuriame palankios sąlygos kenksmingiesiems organizmams plisti,</w:t>
      </w:r>
      <w:r w:rsidR="005D329C" w:rsidRPr="00EA26D9">
        <w:t xml:space="preserve"> </w:t>
      </w:r>
      <w:r w:rsidR="00360F7A" w:rsidRPr="00EA26D9">
        <w:t xml:space="preserve">priskyrimas vienai iš šių </w:t>
      </w:r>
      <w:r w:rsidR="005D329C" w:rsidRPr="00EA26D9">
        <w:t>fitosanitarinės rizikos grup</w:t>
      </w:r>
      <w:r w:rsidR="00360F7A" w:rsidRPr="00EA26D9">
        <w:t>ių</w:t>
      </w:r>
      <w:r w:rsidR="005D329C" w:rsidRPr="00EA26D9">
        <w:t>:</w:t>
      </w:r>
    </w:p>
    <w:p w14:paraId="6711ED32" w14:textId="77777777" w:rsidR="005D329C" w:rsidRPr="00EA26D9" w:rsidRDefault="00355B5B" w:rsidP="005D329C">
      <w:pPr>
        <w:spacing w:line="360" w:lineRule="auto"/>
        <w:ind w:firstLine="851"/>
        <w:jc w:val="both"/>
      </w:pPr>
      <w:r w:rsidRPr="00EA26D9">
        <w:t>8</w:t>
      </w:r>
      <w:r w:rsidR="005D329C" w:rsidRPr="00EA26D9">
        <w:t>.6.1. mažos fitosanitarinės rizikos grupei</w:t>
      </w:r>
      <w:r w:rsidR="00360F7A" w:rsidRPr="00EA26D9">
        <w:t xml:space="preserve"> – balų suma 3 ir mažiau</w:t>
      </w:r>
      <w:r w:rsidR="005D329C" w:rsidRPr="00EA26D9">
        <w:t xml:space="preserve">; </w:t>
      </w:r>
    </w:p>
    <w:p w14:paraId="35C58157" w14:textId="77777777" w:rsidR="005D329C" w:rsidRPr="00EA26D9" w:rsidRDefault="00355B5B" w:rsidP="005D329C">
      <w:pPr>
        <w:spacing w:line="360" w:lineRule="auto"/>
        <w:ind w:firstLine="851"/>
        <w:jc w:val="both"/>
      </w:pPr>
      <w:r w:rsidRPr="00EA26D9">
        <w:t>8</w:t>
      </w:r>
      <w:r w:rsidR="005D329C" w:rsidRPr="00EA26D9">
        <w:t>.6.2. vidutinės fitosanitarinės rizikos grupei</w:t>
      </w:r>
      <w:r w:rsidR="00360F7A" w:rsidRPr="00EA26D9">
        <w:t xml:space="preserve"> – balų suma nuo 4 iki 10</w:t>
      </w:r>
      <w:r w:rsidR="005D329C" w:rsidRPr="00EA26D9">
        <w:t>;</w:t>
      </w:r>
    </w:p>
    <w:p w14:paraId="74FFA8D7" w14:textId="77777777" w:rsidR="005D329C" w:rsidRDefault="00355B5B" w:rsidP="005D329C">
      <w:pPr>
        <w:spacing w:line="360" w:lineRule="auto"/>
        <w:ind w:firstLine="851"/>
        <w:jc w:val="both"/>
      </w:pPr>
      <w:r w:rsidRPr="00EA26D9">
        <w:t>8</w:t>
      </w:r>
      <w:r w:rsidR="005D329C" w:rsidRPr="00EA26D9">
        <w:t>.6.3. didelės fitosanitarinės rizikos grupei</w:t>
      </w:r>
      <w:r w:rsidR="00360F7A" w:rsidRPr="00EA26D9">
        <w:t xml:space="preserve"> </w:t>
      </w:r>
      <w:r w:rsidR="00447866" w:rsidRPr="00EA26D9">
        <w:t xml:space="preserve">– </w:t>
      </w:r>
      <w:r w:rsidR="00360F7A" w:rsidRPr="00EA26D9">
        <w:t>bal</w:t>
      </w:r>
      <w:r w:rsidR="00447866" w:rsidRPr="00EA26D9">
        <w:t>ų</w:t>
      </w:r>
      <w:r w:rsidR="00360F7A" w:rsidRPr="00EA26D9">
        <w:t xml:space="preserve"> suma 11 ir daugiau</w:t>
      </w:r>
      <w:r w:rsidR="008313DC">
        <w:t>;</w:t>
      </w:r>
    </w:p>
    <w:p w14:paraId="0EFD2FD4" w14:textId="77777777" w:rsidR="00436898" w:rsidRDefault="00436898" w:rsidP="005D329C">
      <w:pPr>
        <w:spacing w:line="360" w:lineRule="auto"/>
        <w:ind w:firstLine="851"/>
        <w:jc w:val="both"/>
      </w:pPr>
      <w:r w:rsidRPr="00684EAF">
        <w:t>8.7</w:t>
      </w:r>
      <w:r w:rsidRPr="00BC77BB">
        <w:t>. ūkio subjekto veiklos ir objekto, kuriame palankios sąlygos kenksmingiesiems organizmams plisti,</w:t>
      </w:r>
      <w:r>
        <w:t xml:space="preserve"> vėliausia veiklos tikrinimo data.</w:t>
      </w:r>
    </w:p>
    <w:p w14:paraId="222084E6" w14:textId="77777777" w:rsidR="00B948DB" w:rsidRPr="00D13D14" w:rsidRDefault="00B948DB" w:rsidP="00B948DB">
      <w:pPr>
        <w:pStyle w:val="Sraopastraipa"/>
        <w:spacing w:after="0" w:line="360" w:lineRule="auto"/>
        <w:ind w:left="0"/>
        <w:jc w:val="both"/>
        <w:rPr>
          <w:rFonts w:ascii="Times New Roman" w:hAnsi="Times New Roman"/>
          <w:i/>
          <w:sz w:val="20"/>
          <w:szCs w:val="20"/>
        </w:rPr>
      </w:pPr>
      <w:r w:rsidRPr="00D13D14">
        <w:rPr>
          <w:rFonts w:ascii="Times New Roman" w:hAnsi="Times New Roman"/>
          <w:i/>
          <w:sz w:val="20"/>
          <w:szCs w:val="20"/>
        </w:rPr>
        <w:t>Pakeitimai:</w:t>
      </w:r>
    </w:p>
    <w:p w14:paraId="54973DD3" w14:textId="77777777" w:rsidR="00B948DB" w:rsidRPr="00B948DB" w:rsidRDefault="00B948DB" w:rsidP="00B948DB">
      <w:pPr>
        <w:pStyle w:val="Sraopastraipa"/>
        <w:spacing w:after="0" w:line="360" w:lineRule="auto"/>
        <w:ind w:left="0"/>
        <w:jc w:val="both"/>
        <w:rPr>
          <w:rFonts w:ascii="Times New Roman" w:hAnsi="Times New Roman"/>
          <w:i/>
        </w:rPr>
      </w:pPr>
      <w:r w:rsidRPr="00D13D14">
        <w:rPr>
          <w:rFonts w:ascii="Times New Roman" w:hAnsi="Times New Roman"/>
          <w:i/>
          <w:sz w:val="20"/>
          <w:szCs w:val="20"/>
        </w:rPr>
        <w:t>2021 m. lapkričio 30 d. įsakymas Nr. A1-705</w:t>
      </w:r>
    </w:p>
    <w:p w14:paraId="492BB26D" w14:textId="77777777" w:rsidR="005D329C" w:rsidRPr="00EA26D9" w:rsidRDefault="00355B5B" w:rsidP="005D329C">
      <w:pPr>
        <w:spacing w:line="360" w:lineRule="auto"/>
        <w:ind w:firstLine="851"/>
        <w:jc w:val="both"/>
      </w:pPr>
      <w:r w:rsidRPr="00EA26D9">
        <w:t>9</w:t>
      </w:r>
      <w:r w:rsidR="005D329C" w:rsidRPr="00EA26D9">
        <w:t>. Ūkio subjektas ar objektas</w:t>
      </w:r>
      <w:r w:rsidR="00681DB1" w:rsidRPr="00EA26D9">
        <w:t>,</w:t>
      </w:r>
      <w:r w:rsidR="00046B8F" w:rsidRPr="00EA26D9">
        <w:t xml:space="preserve"> kuriame palankios sąlygos kenksmingiesiems organizmams plisti,</w:t>
      </w:r>
      <w:r w:rsidR="005D329C" w:rsidRPr="00EA26D9">
        <w:t xml:space="preserve"> priskiriami didelės fitosanitarinės rizikos grupei ir kai:</w:t>
      </w:r>
    </w:p>
    <w:p w14:paraId="2C68D338" w14:textId="77777777" w:rsidR="005D329C" w:rsidRPr="00EA26D9" w:rsidRDefault="009B3284" w:rsidP="005D329C">
      <w:pPr>
        <w:spacing w:line="360" w:lineRule="auto"/>
        <w:ind w:firstLine="851"/>
        <w:jc w:val="both"/>
      </w:pPr>
      <w:r w:rsidRPr="00EA26D9">
        <w:t>9</w:t>
      </w:r>
      <w:r w:rsidR="005D329C" w:rsidRPr="00EA26D9">
        <w:t xml:space="preserve">.1. ūkio subjekto </w:t>
      </w:r>
      <w:r w:rsidR="005E2115" w:rsidRPr="00EA26D9">
        <w:t xml:space="preserve">veiklos </w:t>
      </w:r>
      <w:r w:rsidR="005D329C" w:rsidRPr="00EA26D9">
        <w:t>vietoje ar objekto</w:t>
      </w:r>
      <w:r w:rsidR="00046B8F" w:rsidRPr="00EA26D9">
        <w:t>, kuriame palankios sąlygos kenksmingiesiems organizmams plisti,</w:t>
      </w:r>
      <w:r w:rsidR="005D329C" w:rsidRPr="00EA26D9">
        <w:t xml:space="preserve"> teritorijoje einamaisiais kalendoriniais metais buvo nustatytas kenksmingojo organizmo židinys arba kenksmingojo organizmo židinio kontrolės laikotarpis dar nepasibaigęs;</w:t>
      </w:r>
    </w:p>
    <w:p w14:paraId="4C7BDA18" w14:textId="77777777" w:rsidR="00B75C94" w:rsidRDefault="009B3284" w:rsidP="005D329C">
      <w:pPr>
        <w:spacing w:line="360" w:lineRule="auto"/>
        <w:ind w:firstLine="851"/>
        <w:jc w:val="both"/>
      </w:pPr>
      <w:r w:rsidRPr="00EA26D9">
        <w:t>9</w:t>
      </w:r>
      <w:r w:rsidR="005D329C" w:rsidRPr="00EA26D9">
        <w:t>.2. ūkio subjekto žemės ūkio paskirties valdos ar objekto</w:t>
      </w:r>
      <w:r w:rsidR="00046B8F" w:rsidRPr="00EA26D9">
        <w:t>, kuriame palankios sąlygos kenksmingiesiems organizmams plisti,</w:t>
      </w:r>
      <w:r w:rsidR="005D329C" w:rsidRPr="00EA26D9">
        <w:t xml:space="preserve"> teritorija ribojasi su kenksmingojo organizmo židiniu paskelbto ūkio valdomis, kai jose auga arba yra laikomi kenksmingojo organizmo pažeidžiami augalai ir (ar) augaliniai produktai.</w:t>
      </w:r>
    </w:p>
    <w:p w14:paraId="466AA0E3" w14:textId="77777777" w:rsidR="005D329C" w:rsidRDefault="009B3284" w:rsidP="005D329C">
      <w:pPr>
        <w:spacing w:line="360" w:lineRule="auto"/>
        <w:ind w:firstLine="851"/>
        <w:jc w:val="both"/>
        <w:rPr>
          <w:bCs/>
        </w:rPr>
      </w:pPr>
      <w:r w:rsidRPr="00EA26D9">
        <w:t>10</w:t>
      </w:r>
      <w:r w:rsidR="005D329C" w:rsidRPr="00EA26D9">
        <w:t xml:space="preserve">. </w:t>
      </w:r>
      <w:proofErr w:type="spellStart"/>
      <w:r w:rsidR="00436898" w:rsidRPr="00A76E66">
        <w:rPr>
          <w:bCs/>
          <w:color w:val="000000"/>
        </w:rPr>
        <w:t>Fitosanitarijos</w:t>
      </w:r>
      <w:proofErr w:type="spellEnd"/>
      <w:r w:rsidR="00436898" w:rsidRPr="00A76E66">
        <w:rPr>
          <w:bCs/>
          <w:color w:val="000000"/>
        </w:rPr>
        <w:t xml:space="preserve"> skyriaus vedėjas ar jo paskirtas specialistas </w:t>
      </w:r>
      <w:r w:rsidR="00436898">
        <w:rPr>
          <w:bCs/>
          <w:color w:val="000000"/>
        </w:rPr>
        <w:t xml:space="preserve">parengtą </w:t>
      </w:r>
      <w:r w:rsidR="00436898" w:rsidRPr="00D84347">
        <w:rPr>
          <w:bCs/>
          <w:color w:val="000000"/>
        </w:rPr>
        <w:t>suvestinę (</w:t>
      </w:r>
      <w:proofErr w:type="spellStart"/>
      <w:r w:rsidR="00436898" w:rsidRPr="00D84347">
        <w:rPr>
          <w:bCs/>
          <w:color w:val="000000"/>
        </w:rPr>
        <w:t>excel</w:t>
      </w:r>
      <w:proofErr w:type="spellEnd"/>
      <w:r w:rsidR="00436898" w:rsidRPr="00D84347">
        <w:rPr>
          <w:bCs/>
          <w:color w:val="000000"/>
        </w:rPr>
        <w:t xml:space="preserve"> formate su vertinimo balų sumavimo formulėmis)</w:t>
      </w:r>
      <w:r w:rsidR="00436898" w:rsidRPr="00A76E66">
        <w:rPr>
          <w:bCs/>
          <w:color w:val="000000"/>
        </w:rPr>
        <w:t xml:space="preserve"> iki kiekvienų kalendorinių metų lapkričio 28 d. elektroniniu paštu išsiunčia </w:t>
      </w:r>
      <w:bookmarkStart w:id="1" w:name="_Hlk87377621"/>
      <w:r w:rsidR="00436898" w:rsidRPr="00A76E66">
        <w:rPr>
          <w:bCs/>
          <w:color w:val="000000"/>
        </w:rPr>
        <w:t>Veiklos koordinavimo ir tarptautinių ryšių skyriaus</w:t>
      </w:r>
      <w:bookmarkEnd w:id="1"/>
      <w:r w:rsidR="00436898" w:rsidRPr="00A76E66">
        <w:rPr>
          <w:bCs/>
          <w:color w:val="000000"/>
        </w:rPr>
        <w:t xml:space="preserve"> vedėjui</w:t>
      </w:r>
      <w:r w:rsidR="00436898" w:rsidRPr="00A76E66">
        <w:rPr>
          <w:bCs/>
        </w:rPr>
        <w:t>.</w:t>
      </w:r>
    </w:p>
    <w:p w14:paraId="03AAF9F6" w14:textId="77777777" w:rsidR="00B948DB" w:rsidRPr="00D13D14" w:rsidRDefault="00B948DB" w:rsidP="00B948DB">
      <w:pPr>
        <w:pStyle w:val="Sraopastraipa"/>
        <w:spacing w:after="0" w:line="360" w:lineRule="auto"/>
        <w:ind w:left="0"/>
        <w:jc w:val="both"/>
        <w:rPr>
          <w:rFonts w:ascii="Times New Roman" w:hAnsi="Times New Roman"/>
          <w:i/>
          <w:sz w:val="20"/>
          <w:szCs w:val="20"/>
        </w:rPr>
      </w:pPr>
      <w:r w:rsidRPr="00D13D14">
        <w:rPr>
          <w:rFonts w:ascii="Times New Roman" w:hAnsi="Times New Roman"/>
          <w:i/>
          <w:sz w:val="20"/>
          <w:szCs w:val="20"/>
        </w:rPr>
        <w:t>Pakeitimai:</w:t>
      </w:r>
    </w:p>
    <w:p w14:paraId="51440F82" w14:textId="77777777" w:rsidR="00B948DB" w:rsidRPr="00B948DB" w:rsidRDefault="00B948DB" w:rsidP="00B948DB">
      <w:pPr>
        <w:pStyle w:val="Sraopastraipa"/>
        <w:spacing w:after="0" w:line="360" w:lineRule="auto"/>
        <w:ind w:left="0"/>
        <w:jc w:val="both"/>
        <w:rPr>
          <w:rFonts w:ascii="Times New Roman" w:hAnsi="Times New Roman"/>
          <w:i/>
        </w:rPr>
      </w:pPr>
      <w:r w:rsidRPr="00D13D14">
        <w:rPr>
          <w:rFonts w:ascii="Times New Roman" w:hAnsi="Times New Roman"/>
          <w:i/>
          <w:sz w:val="20"/>
          <w:szCs w:val="20"/>
        </w:rPr>
        <w:t>2021 m. lapkričio 30 d. įsakymas Nr. A1-705</w:t>
      </w:r>
    </w:p>
    <w:p w14:paraId="3B13D075" w14:textId="77777777" w:rsidR="00D37A20" w:rsidRDefault="00D37A20" w:rsidP="005D329C">
      <w:pPr>
        <w:spacing w:line="360" w:lineRule="auto"/>
        <w:ind w:firstLine="851"/>
        <w:jc w:val="both"/>
      </w:pPr>
      <w:r>
        <w:t xml:space="preserve">11. </w:t>
      </w:r>
      <w:proofErr w:type="spellStart"/>
      <w:r w:rsidR="00436898" w:rsidRPr="00A76E66">
        <w:rPr>
          <w:color w:val="000000"/>
        </w:rPr>
        <w:t>Fitosanitarijos</w:t>
      </w:r>
      <w:proofErr w:type="spellEnd"/>
      <w:r w:rsidR="00436898" w:rsidRPr="00A76E66">
        <w:rPr>
          <w:color w:val="000000"/>
        </w:rPr>
        <w:t xml:space="preserve"> skyriaus vedėjo paskirti specialistai per 5 darbo dienas nuo suvestinės</w:t>
      </w:r>
      <w:r w:rsidR="00436898">
        <w:rPr>
          <w:color w:val="000000"/>
        </w:rPr>
        <w:t xml:space="preserve"> parengimo</w:t>
      </w:r>
      <w:r w:rsidR="00436898" w:rsidRPr="00A76E66">
        <w:rPr>
          <w:color w:val="000000"/>
        </w:rPr>
        <w:t xml:space="preserve">, vadovaudamiesi Bendrųjų rizikų valdymo principų tvarkos </w:t>
      </w:r>
      <w:r w:rsidR="00436898" w:rsidRPr="006977BA">
        <w:rPr>
          <w:color w:val="000000"/>
        </w:rPr>
        <w:t xml:space="preserve">aprašu, Ūkio subjektų veiklos priežiūros taisyklių nustatyta tvarka bei atsižvelgdami į Žemės ūkio ministerijos strateginiame veiklos plane numatytą patikrinimų skaičių, tarnybos </w:t>
      </w:r>
      <w:r w:rsidR="00436898" w:rsidRPr="006977BA">
        <w:rPr>
          <w:iCs/>
          <w:color w:val="000000"/>
        </w:rPr>
        <w:t>Alytaus, Kauno, Klaipėdos, Marijampolės,</w:t>
      </w:r>
      <w:r w:rsidR="00436898" w:rsidRPr="00A76E66">
        <w:rPr>
          <w:iCs/>
          <w:color w:val="000000"/>
        </w:rPr>
        <w:t xml:space="preserve"> Panevėžio, Šiaulių, Tauragės, Telšių, Utenos ir Vilniaus </w:t>
      </w:r>
      <w:r w:rsidR="00436898" w:rsidRPr="00A76E66">
        <w:rPr>
          <w:color w:val="000000"/>
        </w:rPr>
        <w:t xml:space="preserve">regioniniuose skyriuose </w:t>
      </w:r>
      <w:r w:rsidR="00436898" w:rsidRPr="00A76E66">
        <w:rPr>
          <w:iCs/>
          <w:color w:val="000000"/>
        </w:rPr>
        <w:t xml:space="preserve">(toliau – regioniniai skyriai) </w:t>
      </w:r>
      <w:r w:rsidR="00436898" w:rsidRPr="00A76E66">
        <w:rPr>
          <w:color w:val="000000"/>
        </w:rPr>
        <w:t xml:space="preserve">turimus žmogiškuosius išteklius bei Lietuvos Respublikos fitosanitarinio registro </w:t>
      </w:r>
      <w:r w:rsidR="00436898">
        <w:rPr>
          <w:color w:val="000000"/>
        </w:rPr>
        <w:t xml:space="preserve">duomenis </w:t>
      </w:r>
      <w:r w:rsidR="00436898" w:rsidRPr="00A76E66">
        <w:rPr>
          <w:color w:val="000000"/>
        </w:rPr>
        <w:t>ir kit</w:t>
      </w:r>
      <w:r w:rsidR="00436898">
        <w:rPr>
          <w:color w:val="000000"/>
        </w:rPr>
        <w:t>ą</w:t>
      </w:r>
      <w:r w:rsidR="00436898" w:rsidRPr="00A76E66">
        <w:rPr>
          <w:color w:val="000000"/>
        </w:rPr>
        <w:t xml:space="preserve"> turim</w:t>
      </w:r>
      <w:r w:rsidR="00436898">
        <w:rPr>
          <w:color w:val="000000"/>
        </w:rPr>
        <w:t>ą</w:t>
      </w:r>
      <w:r w:rsidR="00436898" w:rsidRPr="00A76E66">
        <w:rPr>
          <w:color w:val="000000"/>
        </w:rPr>
        <w:t xml:space="preserve"> informacij</w:t>
      </w:r>
      <w:r w:rsidR="00436898">
        <w:rPr>
          <w:color w:val="000000"/>
        </w:rPr>
        <w:t>ą</w:t>
      </w:r>
      <w:r w:rsidR="00436898" w:rsidRPr="00A76E66">
        <w:rPr>
          <w:color w:val="000000"/>
        </w:rPr>
        <w:t xml:space="preserve"> (pvz., skund</w:t>
      </w:r>
      <w:r w:rsidR="00436898">
        <w:rPr>
          <w:color w:val="000000"/>
        </w:rPr>
        <w:t>u</w:t>
      </w:r>
      <w:r w:rsidR="00436898" w:rsidRPr="00A76E66">
        <w:rPr>
          <w:color w:val="000000"/>
        </w:rPr>
        <w:t>s / pranešim</w:t>
      </w:r>
      <w:r w:rsidR="00436898">
        <w:rPr>
          <w:color w:val="000000"/>
        </w:rPr>
        <w:t>u</w:t>
      </w:r>
      <w:r w:rsidR="00436898" w:rsidRPr="00A76E66">
        <w:rPr>
          <w:color w:val="000000"/>
        </w:rPr>
        <w:t xml:space="preserve">s ir pan.), </w:t>
      </w:r>
      <w:r w:rsidR="00436898">
        <w:rPr>
          <w:color w:val="000000"/>
        </w:rPr>
        <w:t xml:space="preserve">parengia </w:t>
      </w:r>
      <w:r w:rsidR="00436898" w:rsidRPr="001B1749">
        <w:rPr>
          <w:color w:val="000000"/>
        </w:rPr>
        <w:t xml:space="preserve">Bendrųjų rizikų valdymo principų </w:t>
      </w:r>
      <w:r w:rsidR="00436898">
        <w:rPr>
          <w:color w:val="000000"/>
        </w:rPr>
        <w:t xml:space="preserve">taikymo </w:t>
      </w:r>
      <w:r w:rsidR="00436898" w:rsidRPr="001B1749">
        <w:rPr>
          <w:color w:val="000000"/>
        </w:rPr>
        <w:t xml:space="preserve">suvestinę </w:t>
      </w:r>
      <w:r w:rsidR="00436898">
        <w:rPr>
          <w:color w:val="000000"/>
        </w:rPr>
        <w:t xml:space="preserve">pagal aprašo </w:t>
      </w:r>
      <w:r w:rsidR="00436898" w:rsidRPr="001B1749">
        <w:rPr>
          <w:color w:val="000000"/>
        </w:rPr>
        <w:t>3 pried</w:t>
      </w:r>
      <w:r w:rsidR="00436898">
        <w:rPr>
          <w:color w:val="000000"/>
        </w:rPr>
        <w:t xml:space="preserve">ą </w:t>
      </w:r>
      <w:r w:rsidR="00436898" w:rsidRPr="00D84347">
        <w:rPr>
          <w:color w:val="000000"/>
        </w:rPr>
        <w:t xml:space="preserve">ir nustato tikrintinų ūkio subjektų veiklų ir objektų, kuriuose palankios sąlygos organizmams plisti, skaičius </w:t>
      </w:r>
      <w:r w:rsidR="00436898" w:rsidRPr="001B1749">
        <w:rPr>
          <w:color w:val="000000"/>
        </w:rPr>
        <w:t>dėl kitais kalendoriniais metais planuojamų fitosanitarinių ūkio subjektų veiklų ir objektų, kuriuose palankios sąlygos organizmams plisti, patikrinimų</w:t>
      </w:r>
      <w:r w:rsidRPr="00D46BD9">
        <w:t>.</w:t>
      </w:r>
    </w:p>
    <w:p w14:paraId="0230F75E" w14:textId="77777777" w:rsidR="00B948DB" w:rsidRPr="008313DC" w:rsidRDefault="00B948DB" w:rsidP="00B948DB">
      <w:pPr>
        <w:pStyle w:val="Sraopastraipa"/>
        <w:spacing w:after="0" w:line="360" w:lineRule="auto"/>
        <w:ind w:left="0"/>
        <w:jc w:val="both"/>
        <w:rPr>
          <w:rFonts w:ascii="Times New Roman" w:hAnsi="Times New Roman"/>
          <w:i/>
          <w:sz w:val="20"/>
          <w:szCs w:val="20"/>
        </w:rPr>
      </w:pPr>
      <w:r w:rsidRPr="008313DC">
        <w:rPr>
          <w:rFonts w:ascii="Times New Roman" w:hAnsi="Times New Roman"/>
          <w:i/>
          <w:sz w:val="20"/>
          <w:szCs w:val="20"/>
        </w:rPr>
        <w:t>Pakeitimai:</w:t>
      </w:r>
    </w:p>
    <w:p w14:paraId="2B8E82FA" w14:textId="77777777" w:rsidR="00B948DB" w:rsidRPr="00B948DB" w:rsidRDefault="00B948DB" w:rsidP="00B948DB">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2021 m. lapkričio 30 d. įsakymas Nr. A1-705</w:t>
      </w:r>
    </w:p>
    <w:p w14:paraId="154382A6" w14:textId="77777777" w:rsidR="00436898" w:rsidRDefault="00436898" w:rsidP="005D329C">
      <w:pPr>
        <w:spacing w:line="360" w:lineRule="auto"/>
        <w:ind w:firstLine="851"/>
        <w:jc w:val="both"/>
        <w:rPr>
          <w:color w:val="000000"/>
        </w:rPr>
      </w:pPr>
      <w:r w:rsidRPr="00430566">
        <w:rPr>
          <w:color w:val="000000"/>
        </w:rPr>
        <w:t>11</w:t>
      </w:r>
      <w:r w:rsidRPr="00430566">
        <w:rPr>
          <w:color w:val="000000"/>
          <w:vertAlign w:val="superscript"/>
        </w:rPr>
        <w:t>1</w:t>
      </w:r>
      <w:r w:rsidRPr="00430566">
        <w:rPr>
          <w:color w:val="000000"/>
        </w:rPr>
        <w:t xml:space="preserve">. </w:t>
      </w:r>
      <w:proofErr w:type="spellStart"/>
      <w:r w:rsidRPr="00430566">
        <w:rPr>
          <w:color w:val="000000"/>
        </w:rPr>
        <w:t>Fitosanitarijos</w:t>
      </w:r>
      <w:proofErr w:type="spellEnd"/>
      <w:r w:rsidRPr="00430566">
        <w:rPr>
          <w:color w:val="000000"/>
        </w:rPr>
        <w:t xml:space="preserve"> skyriaus vedėjo paskirti specialistai per 7 darbo dienas nuo Bendrųjų rizikų valdymo principų </w:t>
      </w:r>
      <w:r>
        <w:rPr>
          <w:color w:val="000000"/>
        </w:rPr>
        <w:t xml:space="preserve">taikymo </w:t>
      </w:r>
      <w:r w:rsidRPr="00430566">
        <w:rPr>
          <w:color w:val="000000"/>
        </w:rPr>
        <w:t>suvestinės parengimo, nustatytas patikrinti ūkio subjektų veiklas ir objektus, kuriuose palankios sąlygos organizmams plisti, pateikia Fitosanitarinių patikrinimų plano projekte, kuris rengiamas pagal aprašo 4 priedą</w:t>
      </w:r>
      <w:r>
        <w:rPr>
          <w:color w:val="000000"/>
        </w:rPr>
        <w:t>,</w:t>
      </w:r>
      <w:r w:rsidRPr="00430566">
        <w:rPr>
          <w:color w:val="000000"/>
        </w:rPr>
        <w:t xml:space="preserve"> dėl kitais</w:t>
      </w:r>
      <w:r w:rsidRPr="009D24FB">
        <w:rPr>
          <w:color w:val="000000"/>
        </w:rPr>
        <w:t xml:space="preserve"> kalendoriniais metais planuojamų fitosanitarinių </w:t>
      </w:r>
      <w:bookmarkStart w:id="2" w:name="_Hlk89020357"/>
      <w:r w:rsidRPr="009D24FB">
        <w:rPr>
          <w:color w:val="000000"/>
        </w:rPr>
        <w:t>ūkio subjektų veiklų ir objektų, kuriuose palankios sąlygos organizmams plisti,</w:t>
      </w:r>
      <w:bookmarkEnd w:id="2"/>
      <w:r w:rsidRPr="009D24FB">
        <w:rPr>
          <w:color w:val="000000"/>
        </w:rPr>
        <w:t xml:space="preserve"> patikrinimų organizavimo.</w:t>
      </w:r>
    </w:p>
    <w:p w14:paraId="59F7CBE8" w14:textId="77777777" w:rsidR="00B948DB" w:rsidRPr="008313DC" w:rsidRDefault="00B948DB" w:rsidP="00B948DB">
      <w:pPr>
        <w:pStyle w:val="Sraopastraipa"/>
        <w:spacing w:after="0" w:line="360" w:lineRule="auto"/>
        <w:ind w:left="0"/>
        <w:jc w:val="both"/>
        <w:rPr>
          <w:rFonts w:ascii="Times New Roman" w:hAnsi="Times New Roman"/>
          <w:i/>
          <w:sz w:val="20"/>
          <w:szCs w:val="20"/>
        </w:rPr>
      </w:pPr>
      <w:r w:rsidRPr="008313DC">
        <w:rPr>
          <w:rFonts w:ascii="Times New Roman" w:hAnsi="Times New Roman"/>
          <w:i/>
          <w:sz w:val="20"/>
          <w:szCs w:val="20"/>
        </w:rPr>
        <w:t>Pakeitimai:</w:t>
      </w:r>
    </w:p>
    <w:p w14:paraId="12566690" w14:textId="77777777" w:rsidR="00B948DB" w:rsidRPr="00B948DB" w:rsidRDefault="00B948DB" w:rsidP="00B948DB">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2021 m. lapkričio 30 d. įsakymas Nr. A1-705</w:t>
      </w:r>
    </w:p>
    <w:p w14:paraId="17A96FA4" w14:textId="77777777" w:rsidR="005D329C" w:rsidRPr="00EA26D9" w:rsidRDefault="005D329C" w:rsidP="005D329C">
      <w:pPr>
        <w:jc w:val="both"/>
      </w:pPr>
    </w:p>
    <w:p w14:paraId="5A2CAB70" w14:textId="77777777" w:rsidR="005D329C" w:rsidRPr="00EA26D9" w:rsidRDefault="005D329C" w:rsidP="005D329C">
      <w:pPr>
        <w:jc w:val="center"/>
        <w:rPr>
          <w:b/>
        </w:rPr>
      </w:pPr>
      <w:r w:rsidRPr="00EA26D9">
        <w:rPr>
          <w:b/>
        </w:rPr>
        <w:t>III SKYRIUS</w:t>
      </w:r>
    </w:p>
    <w:p w14:paraId="7EB9BEC0" w14:textId="77777777" w:rsidR="005D329C" w:rsidRPr="00EA26D9" w:rsidRDefault="005D329C" w:rsidP="005D329C">
      <w:pPr>
        <w:jc w:val="center"/>
        <w:rPr>
          <w:b/>
        </w:rPr>
      </w:pPr>
      <w:r w:rsidRPr="00EA26D9">
        <w:rPr>
          <w:b/>
        </w:rPr>
        <w:t xml:space="preserve"> ŪKIO SUBJEKTŲ </w:t>
      </w:r>
      <w:r w:rsidR="00353EA1" w:rsidRPr="00EA26D9">
        <w:rPr>
          <w:b/>
        </w:rPr>
        <w:t xml:space="preserve">VEIKLOS </w:t>
      </w:r>
      <w:r w:rsidRPr="00EA26D9">
        <w:rPr>
          <w:b/>
        </w:rPr>
        <w:t>IR OBJEKTŲ</w:t>
      </w:r>
      <w:r w:rsidR="00045E1E" w:rsidRPr="00EA26D9">
        <w:rPr>
          <w:b/>
        </w:rPr>
        <w:t>,</w:t>
      </w:r>
      <w:r w:rsidRPr="00EA26D9">
        <w:rPr>
          <w:b/>
        </w:rPr>
        <w:t xml:space="preserve"> </w:t>
      </w:r>
      <w:r w:rsidR="00045E1E" w:rsidRPr="00EA26D9">
        <w:rPr>
          <w:b/>
        </w:rPr>
        <w:t xml:space="preserve">KURIUOSE PALANKIOS SĄLYGOS KENKSMINGIEMS ORGANIZMAMS PLISTI, </w:t>
      </w:r>
      <w:r w:rsidRPr="00EA26D9">
        <w:rPr>
          <w:b/>
        </w:rPr>
        <w:t xml:space="preserve">FITOSANITARINIŲ </w:t>
      </w:r>
      <w:r w:rsidR="00887178" w:rsidRPr="00EA26D9">
        <w:rPr>
          <w:b/>
        </w:rPr>
        <w:t>PA</w:t>
      </w:r>
      <w:r w:rsidRPr="00EA26D9">
        <w:rPr>
          <w:b/>
        </w:rPr>
        <w:t>TIKRINIMŲ PLANAVIMAS</w:t>
      </w:r>
      <w:r w:rsidR="00D762B9" w:rsidRPr="00EA26D9">
        <w:rPr>
          <w:b/>
        </w:rPr>
        <w:t xml:space="preserve"> </w:t>
      </w:r>
    </w:p>
    <w:p w14:paraId="36D7CE80" w14:textId="77777777" w:rsidR="005D329C" w:rsidRPr="00EA26D9" w:rsidRDefault="005D329C" w:rsidP="005D329C">
      <w:pPr>
        <w:jc w:val="both"/>
      </w:pPr>
    </w:p>
    <w:p w14:paraId="1019DCFE" w14:textId="77777777" w:rsidR="005D329C" w:rsidRDefault="005D329C" w:rsidP="002E7DFC">
      <w:pPr>
        <w:spacing w:line="360" w:lineRule="auto"/>
        <w:ind w:firstLine="851"/>
        <w:jc w:val="both"/>
        <w:rPr>
          <w:color w:val="000000"/>
        </w:rPr>
      </w:pPr>
      <w:r w:rsidRPr="00EA26D9">
        <w:t>1</w:t>
      </w:r>
      <w:r w:rsidR="006039EE">
        <w:t>2</w:t>
      </w:r>
      <w:r w:rsidRPr="00EA26D9">
        <w:t xml:space="preserve">. </w:t>
      </w:r>
      <w:proofErr w:type="spellStart"/>
      <w:r w:rsidR="00436898" w:rsidRPr="00A76E66">
        <w:rPr>
          <w:color w:val="000000"/>
        </w:rPr>
        <w:t>Fitosanitarijos</w:t>
      </w:r>
      <w:proofErr w:type="spellEnd"/>
      <w:r w:rsidR="00436898" w:rsidRPr="00A76E66">
        <w:rPr>
          <w:color w:val="000000"/>
        </w:rPr>
        <w:t xml:space="preserve"> skyriaus vedėjo paskirti specialistai per 7 darbo dienas nuo </w:t>
      </w:r>
      <w:r w:rsidR="00436898" w:rsidRPr="001B1749">
        <w:rPr>
          <w:color w:val="000000"/>
        </w:rPr>
        <w:t xml:space="preserve">Bendrųjų rizikų valdymo </w:t>
      </w:r>
      <w:r w:rsidR="00436898">
        <w:rPr>
          <w:color w:val="000000"/>
        </w:rPr>
        <w:t xml:space="preserve">principų taikymo </w:t>
      </w:r>
      <w:r w:rsidR="00436898" w:rsidRPr="00A76E66">
        <w:rPr>
          <w:color w:val="000000"/>
        </w:rPr>
        <w:t>suvestinės parengimo</w:t>
      </w:r>
      <w:r w:rsidR="00436898">
        <w:rPr>
          <w:color w:val="000000"/>
        </w:rPr>
        <w:t>,</w:t>
      </w:r>
      <w:r w:rsidR="00436898" w:rsidRPr="00A76E66">
        <w:rPr>
          <w:color w:val="000000"/>
        </w:rPr>
        <w:t xml:space="preserve"> kiekvien</w:t>
      </w:r>
      <w:r w:rsidR="00436898">
        <w:rPr>
          <w:color w:val="000000"/>
        </w:rPr>
        <w:t>am</w:t>
      </w:r>
      <w:r w:rsidR="00436898" w:rsidRPr="00A76E66">
        <w:rPr>
          <w:color w:val="000000"/>
        </w:rPr>
        <w:t xml:space="preserve"> regionini</w:t>
      </w:r>
      <w:r w:rsidR="00436898">
        <w:rPr>
          <w:color w:val="000000"/>
        </w:rPr>
        <w:t>am</w:t>
      </w:r>
      <w:r w:rsidR="00436898" w:rsidRPr="00A76E66">
        <w:rPr>
          <w:color w:val="000000"/>
        </w:rPr>
        <w:t xml:space="preserve"> skyri</w:t>
      </w:r>
      <w:r w:rsidR="00436898">
        <w:rPr>
          <w:color w:val="000000"/>
        </w:rPr>
        <w:t>ui</w:t>
      </w:r>
      <w:r w:rsidR="00436898" w:rsidRPr="00A76E66">
        <w:rPr>
          <w:color w:val="000000"/>
        </w:rPr>
        <w:t xml:space="preserve"> </w:t>
      </w:r>
      <w:bookmarkStart w:id="3" w:name="_Hlk88126208"/>
      <w:r w:rsidR="00436898">
        <w:rPr>
          <w:color w:val="000000"/>
        </w:rPr>
        <w:t xml:space="preserve">parengia </w:t>
      </w:r>
      <w:r w:rsidR="00436898" w:rsidRPr="00430566">
        <w:rPr>
          <w:color w:val="000000"/>
        </w:rPr>
        <w:t>Fitosanitarinių patikrinimų plano proje</w:t>
      </w:r>
      <w:r w:rsidR="00436898" w:rsidRPr="000735EF">
        <w:rPr>
          <w:color w:val="000000"/>
        </w:rPr>
        <w:t>kt</w:t>
      </w:r>
      <w:r w:rsidR="00436898">
        <w:rPr>
          <w:color w:val="000000"/>
        </w:rPr>
        <w:t>us</w:t>
      </w:r>
      <w:r w:rsidR="00436898" w:rsidRPr="00A76E66">
        <w:rPr>
          <w:color w:val="000000"/>
        </w:rPr>
        <w:t xml:space="preserve"> </w:t>
      </w:r>
      <w:bookmarkEnd w:id="3"/>
      <w:r w:rsidR="00436898" w:rsidRPr="00A76E66">
        <w:rPr>
          <w:color w:val="000000"/>
        </w:rPr>
        <w:t xml:space="preserve">ir elektroniniu paštu </w:t>
      </w:r>
      <w:r w:rsidR="00436898">
        <w:rPr>
          <w:color w:val="000000"/>
        </w:rPr>
        <w:t>juos iš</w:t>
      </w:r>
      <w:r w:rsidR="00436898" w:rsidRPr="00A76E66">
        <w:rPr>
          <w:color w:val="000000"/>
        </w:rPr>
        <w:t xml:space="preserve">siunčia peržiūrėti regioninių skyrių vedėjams. Fitosanitarinių patikrinimų plano projektuose nenurodomos preliminarios </w:t>
      </w:r>
      <w:r w:rsidR="00436898">
        <w:rPr>
          <w:color w:val="000000"/>
        </w:rPr>
        <w:t xml:space="preserve">fitosanitarinių </w:t>
      </w:r>
      <w:r w:rsidR="00436898" w:rsidRPr="00A76E66">
        <w:rPr>
          <w:color w:val="000000"/>
        </w:rPr>
        <w:t xml:space="preserve">patikrinimų datos, tačiau juose turi būti </w:t>
      </w:r>
      <w:bookmarkStart w:id="4" w:name="_Hlk88075035"/>
      <w:r w:rsidR="00436898">
        <w:rPr>
          <w:color w:val="000000"/>
        </w:rPr>
        <w:t xml:space="preserve">nurodoma </w:t>
      </w:r>
      <w:r w:rsidR="00436898" w:rsidRPr="00A76E66">
        <w:rPr>
          <w:color w:val="000000"/>
        </w:rPr>
        <w:t xml:space="preserve">ne mažiau kaip 5 proc. fitosanitarinių patikrinimų atlikti kitiems regioniniams skyriams, nei priklausytų pagal </w:t>
      </w:r>
      <w:r w:rsidR="00436898">
        <w:rPr>
          <w:color w:val="000000"/>
        </w:rPr>
        <w:t>tarnybos direktoriaus nustatytas veiklos teritorijos ribas</w:t>
      </w:r>
      <w:r w:rsidR="00436898" w:rsidRPr="00A76E66">
        <w:rPr>
          <w:color w:val="000000"/>
        </w:rPr>
        <w:t>.</w:t>
      </w:r>
      <w:bookmarkEnd w:id="4"/>
    </w:p>
    <w:p w14:paraId="4B3FC39B" w14:textId="77777777" w:rsidR="00B948DB" w:rsidRPr="008313DC" w:rsidRDefault="00B948DB" w:rsidP="00B948DB">
      <w:pPr>
        <w:pStyle w:val="Sraopastraipa"/>
        <w:spacing w:after="0" w:line="360" w:lineRule="auto"/>
        <w:ind w:left="0"/>
        <w:jc w:val="both"/>
        <w:rPr>
          <w:rFonts w:ascii="Times New Roman" w:hAnsi="Times New Roman"/>
          <w:i/>
          <w:sz w:val="20"/>
          <w:szCs w:val="20"/>
        </w:rPr>
      </w:pPr>
      <w:r w:rsidRPr="008313DC">
        <w:rPr>
          <w:rFonts w:ascii="Times New Roman" w:hAnsi="Times New Roman"/>
          <w:i/>
          <w:sz w:val="20"/>
          <w:szCs w:val="20"/>
        </w:rPr>
        <w:t>Pakeitimai:</w:t>
      </w:r>
    </w:p>
    <w:p w14:paraId="683FE826" w14:textId="77777777" w:rsidR="00B948DB" w:rsidRPr="00B948DB" w:rsidRDefault="00B948DB" w:rsidP="00B948DB">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2021 m. lapkričio 30 d. įsakymas Nr. A1-705</w:t>
      </w:r>
    </w:p>
    <w:p w14:paraId="76B9E7A6" w14:textId="77777777" w:rsidR="00436898" w:rsidRDefault="00436898" w:rsidP="002E7DFC">
      <w:pPr>
        <w:spacing w:line="360" w:lineRule="auto"/>
        <w:ind w:firstLine="851"/>
        <w:jc w:val="both"/>
        <w:rPr>
          <w:color w:val="000000"/>
        </w:rPr>
      </w:pPr>
      <w:r w:rsidRPr="00A76E66">
        <w:rPr>
          <w:color w:val="000000"/>
        </w:rPr>
        <w:t>12</w:t>
      </w:r>
      <w:r w:rsidRPr="00A76E66">
        <w:rPr>
          <w:color w:val="000000"/>
          <w:vertAlign w:val="superscript"/>
        </w:rPr>
        <w:t>1</w:t>
      </w:r>
      <w:r w:rsidRPr="00A76E66">
        <w:rPr>
          <w:color w:val="000000"/>
        </w:rPr>
        <w:t xml:space="preserve">. Regioninių skyrių vedėjai arba jų paskirti specialistai iki kiekvienų kalendorinių metų gruodžio 13 d. </w:t>
      </w:r>
      <w:r w:rsidRPr="00E62EBB">
        <w:rPr>
          <w:color w:val="000000"/>
        </w:rPr>
        <w:t>papildo</w:t>
      </w:r>
      <w:r w:rsidRPr="00A76E66">
        <w:rPr>
          <w:color w:val="000000"/>
        </w:rPr>
        <w:t xml:space="preserve"> Fitosanitarinių patikrinimų plano projektus preliminariomis patikrinimų datomis</w:t>
      </w:r>
      <w:r>
        <w:rPr>
          <w:color w:val="000000"/>
        </w:rPr>
        <w:t xml:space="preserve">  (nurodoma planuojamo patikrinimo savaitė) bei</w:t>
      </w:r>
      <w:r w:rsidRPr="00A76E66">
        <w:rPr>
          <w:color w:val="000000"/>
        </w:rPr>
        <w:t xml:space="preserve"> </w:t>
      </w:r>
      <w:r>
        <w:rPr>
          <w:color w:val="000000"/>
        </w:rPr>
        <w:t xml:space="preserve">pateikia pasiūlymus dėl </w:t>
      </w:r>
      <w:r w:rsidRPr="00A76E66">
        <w:rPr>
          <w:color w:val="000000"/>
        </w:rPr>
        <w:t>kit</w:t>
      </w:r>
      <w:r>
        <w:rPr>
          <w:color w:val="000000"/>
        </w:rPr>
        <w:t>os</w:t>
      </w:r>
      <w:r w:rsidRPr="00A76E66">
        <w:rPr>
          <w:color w:val="000000"/>
        </w:rPr>
        <w:t xml:space="preserve"> informacij</w:t>
      </w:r>
      <w:r>
        <w:rPr>
          <w:color w:val="000000"/>
        </w:rPr>
        <w:t>os</w:t>
      </w:r>
      <w:r w:rsidRPr="00A76E66">
        <w:rPr>
          <w:color w:val="000000"/>
        </w:rPr>
        <w:t xml:space="preserve"> ir elektroniniu paštu </w:t>
      </w:r>
      <w:r>
        <w:rPr>
          <w:color w:val="000000"/>
        </w:rPr>
        <w:t>iš</w:t>
      </w:r>
      <w:r w:rsidRPr="00A76E66">
        <w:rPr>
          <w:color w:val="000000"/>
        </w:rPr>
        <w:t xml:space="preserve">siunčia </w:t>
      </w:r>
      <w:proofErr w:type="spellStart"/>
      <w:r w:rsidRPr="00A76E66">
        <w:rPr>
          <w:color w:val="000000"/>
        </w:rPr>
        <w:t>Fitosanitarijos</w:t>
      </w:r>
      <w:proofErr w:type="spellEnd"/>
      <w:r w:rsidRPr="00A76E66">
        <w:rPr>
          <w:color w:val="000000"/>
        </w:rPr>
        <w:t xml:space="preserve"> skyriaus specialistui, kuris pateikė Fitosanitarinių patikrinimų plano projekt</w:t>
      </w:r>
      <w:r>
        <w:rPr>
          <w:color w:val="000000"/>
        </w:rPr>
        <w:t>us</w:t>
      </w:r>
      <w:r w:rsidRPr="00A76E66">
        <w:rPr>
          <w:color w:val="000000"/>
        </w:rPr>
        <w:t>.</w:t>
      </w:r>
    </w:p>
    <w:p w14:paraId="54F8B015" w14:textId="77777777" w:rsidR="00B948DB" w:rsidRPr="008313DC" w:rsidRDefault="00B948DB" w:rsidP="00B948DB">
      <w:pPr>
        <w:pStyle w:val="Sraopastraipa"/>
        <w:spacing w:after="0" w:line="360" w:lineRule="auto"/>
        <w:ind w:left="0"/>
        <w:jc w:val="both"/>
        <w:rPr>
          <w:rFonts w:ascii="Times New Roman" w:hAnsi="Times New Roman"/>
          <w:i/>
          <w:sz w:val="20"/>
          <w:szCs w:val="20"/>
        </w:rPr>
      </w:pPr>
      <w:r w:rsidRPr="008313DC">
        <w:rPr>
          <w:rFonts w:ascii="Times New Roman" w:hAnsi="Times New Roman"/>
          <w:i/>
          <w:sz w:val="20"/>
          <w:szCs w:val="20"/>
        </w:rPr>
        <w:t>Pakeitimai:</w:t>
      </w:r>
    </w:p>
    <w:p w14:paraId="6387FB4E" w14:textId="77777777" w:rsidR="00B948DB" w:rsidRPr="00B948DB" w:rsidRDefault="00B948DB" w:rsidP="00B948DB">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2021 m. lapkričio 30 d. įsakymas Nr. A1-705</w:t>
      </w:r>
    </w:p>
    <w:p w14:paraId="72C0CBD4" w14:textId="77777777" w:rsidR="005D329C" w:rsidRPr="00EA26D9" w:rsidRDefault="005D329C" w:rsidP="005D329C">
      <w:pPr>
        <w:spacing w:line="360" w:lineRule="auto"/>
        <w:ind w:firstLine="851"/>
        <w:jc w:val="both"/>
      </w:pPr>
      <w:r w:rsidRPr="00EA26D9">
        <w:t>1</w:t>
      </w:r>
      <w:r w:rsidR="006039EE">
        <w:t>3</w:t>
      </w:r>
      <w:r w:rsidRPr="00EA26D9">
        <w:t xml:space="preserve">. Ūkio subjektų </w:t>
      </w:r>
      <w:r w:rsidR="00E60912" w:rsidRPr="00EA26D9">
        <w:t xml:space="preserve">veiklos </w:t>
      </w:r>
      <w:r w:rsidRPr="00EA26D9">
        <w:t>ir objektų</w:t>
      </w:r>
      <w:r w:rsidR="00A005F2" w:rsidRPr="00EA26D9">
        <w:t>, kuriuose palankios sąlygos kenksmingiesiems organizmams plisti,</w:t>
      </w:r>
      <w:r w:rsidRPr="00EA26D9">
        <w:t xml:space="preserve"> fitosanitarinių patikrinimų metinis planas sudaromas atsižvelgiant į:</w:t>
      </w:r>
    </w:p>
    <w:p w14:paraId="695884D1" w14:textId="77777777" w:rsidR="005D329C" w:rsidRPr="00EA26D9" w:rsidRDefault="005D329C" w:rsidP="005D329C">
      <w:pPr>
        <w:spacing w:line="360" w:lineRule="auto"/>
        <w:ind w:firstLine="851"/>
        <w:jc w:val="both"/>
      </w:pPr>
      <w:r w:rsidRPr="00EA26D9">
        <w:t>1</w:t>
      </w:r>
      <w:r w:rsidR="006039EE">
        <w:t>3</w:t>
      </w:r>
      <w:r w:rsidRPr="00EA26D9">
        <w:t xml:space="preserve">.1. teisės aktais reglamentuojamą minimalų </w:t>
      </w:r>
      <w:r w:rsidR="00887178" w:rsidRPr="00EA26D9">
        <w:t>pa</w:t>
      </w:r>
      <w:r w:rsidRPr="00EA26D9">
        <w:t xml:space="preserve">tikrinimų skaičių per </w:t>
      </w:r>
      <w:r w:rsidR="009B3284" w:rsidRPr="00EA26D9">
        <w:t xml:space="preserve">kalendorinius </w:t>
      </w:r>
      <w:r w:rsidRPr="00EA26D9">
        <w:t>metus;</w:t>
      </w:r>
    </w:p>
    <w:p w14:paraId="03EC290F" w14:textId="77777777" w:rsidR="005D329C" w:rsidRPr="00EA26D9" w:rsidRDefault="005D329C" w:rsidP="005D329C">
      <w:pPr>
        <w:spacing w:line="360" w:lineRule="auto"/>
        <w:ind w:firstLine="851"/>
        <w:jc w:val="both"/>
      </w:pPr>
      <w:r w:rsidRPr="00EA26D9">
        <w:t>1</w:t>
      </w:r>
      <w:r w:rsidR="006039EE">
        <w:t>3</w:t>
      </w:r>
      <w:r w:rsidRPr="00EA26D9">
        <w:t>.2. teisės aktais reglamentuojamą konkrečių kenksmingųjų organizmų židinių fitosanitarinę kontrolę ir privalomą kenksmingųjų organizmų židinių patikrinimų skaičių;</w:t>
      </w:r>
    </w:p>
    <w:p w14:paraId="15EFE3D7" w14:textId="77777777" w:rsidR="005D329C" w:rsidRPr="00EA26D9" w:rsidRDefault="005D329C" w:rsidP="005D329C">
      <w:pPr>
        <w:spacing w:line="360" w:lineRule="auto"/>
        <w:ind w:firstLine="851"/>
        <w:jc w:val="both"/>
      </w:pPr>
      <w:r w:rsidRPr="00EA26D9">
        <w:t>1</w:t>
      </w:r>
      <w:r w:rsidR="006039EE">
        <w:t>3</w:t>
      </w:r>
      <w:r w:rsidRPr="00EA26D9">
        <w:t xml:space="preserve">.3. nustatytą ūkio subjekto </w:t>
      </w:r>
      <w:r w:rsidR="00AE01F8" w:rsidRPr="00EA26D9">
        <w:t xml:space="preserve">veiklos </w:t>
      </w:r>
      <w:r w:rsidR="00A005F2" w:rsidRPr="00EA26D9">
        <w:t>a</w:t>
      </w:r>
      <w:r w:rsidRPr="00EA26D9">
        <w:t>r objekto</w:t>
      </w:r>
      <w:r w:rsidR="00A005F2" w:rsidRPr="00EA26D9">
        <w:t>, kuriame palankios sąlygos kenksmingiesiems organizmams plisti,</w:t>
      </w:r>
      <w:r w:rsidRPr="00EA26D9">
        <w:t xml:space="preserve"> fitosanitarinės rizikos grupę:</w:t>
      </w:r>
    </w:p>
    <w:p w14:paraId="2F047C35" w14:textId="77777777" w:rsidR="005D329C" w:rsidRDefault="005D329C" w:rsidP="005D329C">
      <w:pPr>
        <w:spacing w:line="360" w:lineRule="auto"/>
        <w:ind w:firstLine="851"/>
        <w:jc w:val="both"/>
      </w:pPr>
      <w:r w:rsidRPr="00EA26D9">
        <w:t>1</w:t>
      </w:r>
      <w:r w:rsidR="006039EE">
        <w:t>3</w:t>
      </w:r>
      <w:r w:rsidRPr="00EA26D9">
        <w:t xml:space="preserve">.3.1. </w:t>
      </w:r>
      <w:r w:rsidR="00436898" w:rsidRPr="00A76E66">
        <w:t>didelės rizikos – planuojami ne daugiau kaip du patikrinimai per kalendorinius metus;</w:t>
      </w:r>
    </w:p>
    <w:p w14:paraId="5A1DD392" w14:textId="77777777" w:rsidR="00B948DB" w:rsidRPr="008313DC" w:rsidRDefault="00B948DB" w:rsidP="00B948DB">
      <w:pPr>
        <w:pStyle w:val="Sraopastraipa"/>
        <w:spacing w:after="0" w:line="360" w:lineRule="auto"/>
        <w:ind w:left="0"/>
        <w:jc w:val="both"/>
        <w:rPr>
          <w:rFonts w:ascii="Times New Roman" w:hAnsi="Times New Roman"/>
          <w:i/>
          <w:sz w:val="20"/>
          <w:szCs w:val="20"/>
        </w:rPr>
      </w:pPr>
      <w:r w:rsidRPr="008313DC">
        <w:rPr>
          <w:rFonts w:ascii="Times New Roman" w:hAnsi="Times New Roman"/>
          <w:i/>
          <w:sz w:val="20"/>
          <w:szCs w:val="20"/>
        </w:rPr>
        <w:t>Pakeitimai:</w:t>
      </w:r>
    </w:p>
    <w:p w14:paraId="454A6B78" w14:textId="77777777" w:rsidR="00B948DB" w:rsidRPr="00B948DB" w:rsidRDefault="00B948DB" w:rsidP="00B948DB">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2021 m. lapkričio 30 d. įsakymas Nr. A1-705</w:t>
      </w:r>
    </w:p>
    <w:p w14:paraId="5309B5DB" w14:textId="77777777" w:rsidR="005D329C" w:rsidRDefault="005D329C" w:rsidP="005D329C">
      <w:pPr>
        <w:spacing w:line="360" w:lineRule="auto"/>
        <w:ind w:firstLine="851"/>
        <w:jc w:val="both"/>
      </w:pPr>
      <w:r w:rsidRPr="00EA26D9">
        <w:t>1</w:t>
      </w:r>
      <w:r w:rsidR="006039EE">
        <w:t>3</w:t>
      </w:r>
      <w:r w:rsidRPr="00EA26D9">
        <w:t xml:space="preserve">.3.2. </w:t>
      </w:r>
      <w:r w:rsidR="00436898" w:rsidRPr="00A76E66">
        <w:t>vidutinės rizikos – planuojamas ne daugiau kaip vienas patikrinimas per kalendorinius metus;</w:t>
      </w:r>
    </w:p>
    <w:p w14:paraId="3692758A" w14:textId="77777777" w:rsidR="00B948DB" w:rsidRPr="008313DC" w:rsidRDefault="00B948DB" w:rsidP="00B948DB">
      <w:pPr>
        <w:pStyle w:val="Sraopastraipa"/>
        <w:spacing w:after="0" w:line="360" w:lineRule="auto"/>
        <w:ind w:left="0"/>
        <w:jc w:val="both"/>
        <w:rPr>
          <w:rFonts w:ascii="Times New Roman" w:hAnsi="Times New Roman"/>
          <w:i/>
          <w:sz w:val="20"/>
          <w:szCs w:val="20"/>
        </w:rPr>
      </w:pPr>
      <w:r w:rsidRPr="008313DC">
        <w:rPr>
          <w:rFonts w:ascii="Times New Roman" w:hAnsi="Times New Roman"/>
          <w:i/>
          <w:sz w:val="20"/>
          <w:szCs w:val="20"/>
        </w:rPr>
        <w:t>Pakeitimai:</w:t>
      </w:r>
    </w:p>
    <w:p w14:paraId="2BB406F3" w14:textId="77777777" w:rsidR="00B948DB" w:rsidRPr="00B948DB" w:rsidRDefault="00B948DB" w:rsidP="00B948DB">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2021 m. lapkričio 30 d. įsakymas Nr. A1-705</w:t>
      </w:r>
    </w:p>
    <w:p w14:paraId="347B6D9F" w14:textId="77777777" w:rsidR="005D329C" w:rsidRDefault="005D329C" w:rsidP="005D329C">
      <w:pPr>
        <w:spacing w:line="360" w:lineRule="auto"/>
        <w:ind w:firstLine="851"/>
        <w:jc w:val="both"/>
      </w:pPr>
      <w:r w:rsidRPr="00EA26D9">
        <w:t>1</w:t>
      </w:r>
      <w:r w:rsidR="006039EE">
        <w:t>3</w:t>
      </w:r>
      <w:r w:rsidRPr="00EA26D9">
        <w:t xml:space="preserve">.3.3. </w:t>
      </w:r>
      <w:r w:rsidR="00436898" w:rsidRPr="00A76E66">
        <w:t xml:space="preserve">mažos rizikos – planuojamas ne daugiau kaip vienas patikrinimas per kalendorinius metus iki 10 proc. </w:t>
      </w:r>
      <w:r w:rsidR="00436898" w:rsidRPr="00A76E66">
        <w:rPr>
          <w:color w:val="000000"/>
        </w:rPr>
        <w:t>ūkio subjektų veiklų ir objektų, kuriuose palankios sąlygos organizmams plisti</w:t>
      </w:r>
      <w:r w:rsidR="00436898" w:rsidRPr="00A76E66">
        <w:t>, jei kiti teisės aktai</w:t>
      </w:r>
      <w:r w:rsidR="00436898">
        <w:t>, reguliuojantys fitosanitarinę kontrolę,</w:t>
      </w:r>
      <w:r w:rsidR="00436898" w:rsidRPr="00A76E66">
        <w:t xml:space="preserve"> nenustato kitaip.</w:t>
      </w:r>
    </w:p>
    <w:p w14:paraId="7E294254" w14:textId="77777777" w:rsidR="00B948DB" w:rsidRPr="008313DC" w:rsidRDefault="00B948DB" w:rsidP="00B948DB">
      <w:pPr>
        <w:pStyle w:val="Sraopastraipa"/>
        <w:spacing w:after="0" w:line="360" w:lineRule="auto"/>
        <w:ind w:left="0"/>
        <w:jc w:val="both"/>
        <w:rPr>
          <w:rFonts w:ascii="Times New Roman" w:hAnsi="Times New Roman"/>
          <w:i/>
          <w:sz w:val="20"/>
          <w:szCs w:val="20"/>
        </w:rPr>
      </w:pPr>
      <w:r w:rsidRPr="008313DC">
        <w:rPr>
          <w:rFonts w:ascii="Times New Roman" w:hAnsi="Times New Roman"/>
          <w:i/>
          <w:sz w:val="20"/>
          <w:szCs w:val="20"/>
        </w:rPr>
        <w:t>Pakeitimai:</w:t>
      </w:r>
    </w:p>
    <w:p w14:paraId="0FE27AFE" w14:textId="77777777" w:rsidR="00B948DB" w:rsidRPr="00B948DB" w:rsidRDefault="00B948DB" w:rsidP="00B948DB">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2021 m. lapkričio 30 d. įsakymas Nr. A1-705</w:t>
      </w:r>
    </w:p>
    <w:p w14:paraId="7E951A17" w14:textId="77777777" w:rsidR="005D329C" w:rsidRDefault="005D329C" w:rsidP="005D329C">
      <w:pPr>
        <w:spacing w:line="360" w:lineRule="auto"/>
        <w:ind w:firstLine="851"/>
        <w:jc w:val="both"/>
      </w:pPr>
      <w:r w:rsidRPr="00EA26D9">
        <w:t>1</w:t>
      </w:r>
      <w:r w:rsidR="006039EE">
        <w:t>4</w:t>
      </w:r>
      <w:r w:rsidRPr="00EA26D9">
        <w:t xml:space="preserve">. </w:t>
      </w:r>
      <w:r w:rsidR="00436898" w:rsidRPr="00A76E66">
        <w:rPr>
          <w:color w:val="000000"/>
        </w:rPr>
        <w:t>Vidutinės ar mažos rizikos ūkio subjekto veiklos ar objekto, kuriame palankios sąlygos kenksmingiesiems organizmams plisti, kitais kalendoriniais metais fitosanitarinis patikrinimas planuojamas vadovaujantis Bendrųjų rizikų valdymo principų tvarkos aprašo 7–11 punktais. Viešai lankomų teritorijų (parkų, kitų vietų) ir sodininkų bendrijų fitosanitarinės stebėsenos patikrinimai planuojami ne dažniau kaip kartą per dvejus kalendorinius metus, kai šie patikrinimai nesusiję su nustatyto kenksmingojo organizmo židinio kontrole</w:t>
      </w:r>
      <w:r w:rsidRPr="00EA26D9">
        <w:t>.</w:t>
      </w:r>
    </w:p>
    <w:p w14:paraId="3916F0EC" w14:textId="77777777" w:rsidR="00B948DB" w:rsidRPr="008313DC" w:rsidRDefault="00B948DB" w:rsidP="00B948DB">
      <w:pPr>
        <w:pStyle w:val="Sraopastraipa"/>
        <w:spacing w:after="0" w:line="360" w:lineRule="auto"/>
        <w:ind w:left="0"/>
        <w:jc w:val="both"/>
        <w:rPr>
          <w:rFonts w:ascii="Times New Roman" w:hAnsi="Times New Roman"/>
          <w:i/>
          <w:sz w:val="20"/>
          <w:szCs w:val="20"/>
        </w:rPr>
      </w:pPr>
      <w:r w:rsidRPr="008313DC">
        <w:rPr>
          <w:rFonts w:ascii="Times New Roman" w:hAnsi="Times New Roman"/>
          <w:i/>
          <w:sz w:val="20"/>
          <w:szCs w:val="20"/>
        </w:rPr>
        <w:t>Pakeitimai:</w:t>
      </w:r>
    </w:p>
    <w:p w14:paraId="40255E48" w14:textId="77777777" w:rsidR="00B948DB" w:rsidRPr="00B948DB" w:rsidRDefault="00B948DB" w:rsidP="00B948DB">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2021 m. lapkričio 30 d. įsakymas Nr. A1-705</w:t>
      </w:r>
    </w:p>
    <w:p w14:paraId="749ED41C" w14:textId="77777777" w:rsidR="006039EE" w:rsidRDefault="005D329C" w:rsidP="005D329C">
      <w:pPr>
        <w:spacing w:line="360" w:lineRule="auto"/>
        <w:ind w:firstLine="851"/>
        <w:jc w:val="both"/>
      </w:pPr>
      <w:r w:rsidRPr="00EA26D9">
        <w:t>1</w:t>
      </w:r>
      <w:r w:rsidR="006039EE">
        <w:t>5</w:t>
      </w:r>
      <w:r w:rsidRPr="00EA26D9">
        <w:t xml:space="preserve">. Ūkio subjektai, kurių vykdoma veikla yra susijusi tik su augalų, augalinių produktų importu iš trečiųjų šalių, į </w:t>
      </w:r>
      <w:r w:rsidR="001273A2">
        <w:t>f</w:t>
      </w:r>
      <w:r w:rsidRPr="00EA26D9">
        <w:t xml:space="preserve">itosanitarinių patikrinimų planą neįtraukiami, kadangi fitosanitariniai </w:t>
      </w:r>
      <w:r w:rsidR="007D3243" w:rsidRPr="00EA26D9">
        <w:t>pa</w:t>
      </w:r>
      <w:r w:rsidRPr="00EA26D9">
        <w:t xml:space="preserve">tikrinimai </w:t>
      </w:r>
      <w:r w:rsidR="006C15E6">
        <w:t>atliekami</w:t>
      </w:r>
      <w:r w:rsidR="006C15E6" w:rsidRPr="00EA26D9">
        <w:t xml:space="preserve"> </w:t>
      </w:r>
      <w:r w:rsidRPr="00EA26D9">
        <w:t>pasienio kontrolės postuose augalų, augalinių produktų importo metu.</w:t>
      </w:r>
    </w:p>
    <w:p w14:paraId="0C3C1BDA" w14:textId="77777777" w:rsidR="005D329C" w:rsidRPr="00EA26D9" w:rsidRDefault="006039EE" w:rsidP="005D329C">
      <w:pPr>
        <w:spacing w:line="360" w:lineRule="auto"/>
        <w:ind w:firstLine="851"/>
        <w:jc w:val="both"/>
      </w:pPr>
      <w:r>
        <w:t>16</w:t>
      </w:r>
      <w:r w:rsidR="005D329C" w:rsidRPr="00EA26D9">
        <w:t xml:space="preserve">. Fitosanitarinių patikrinimų plano projektą rengia ir </w:t>
      </w:r>
      <w:r w:rsidR="001273A2">
        <w:t>t</w:t>
      </w:r>
      <w:r w:rsidR="005D329C" w:rsidRPr="00EA26D9">
        <w:t xml:space="preserve">arnybos direktoriui teikia tvirtinti </w:t>
      </w:r>
      <w:proofErr w:type="spellStart"/>
      <w:r w:rsidR="005D329C" w:rsidRPr="00EA26D9">
        <w:t>Fitosanitarijos</w:t>
      </w:r>
      <w:proofErr w:type="spellEnd"/>
      <w:r w:rsidR="005D329C" w:rsidRPr="00EA26D9">
        <w:t xml:space="preserve"> skyriaus vedėjas iki einamųjų metų gruodžio 15 d. </w:t>
      </w:r>
    </w:p>
    <w:p w14:paraId="79054066" w14:textId="77777777" w:rsidR="00984B2D" w:rsidRPr="00EA26D9" w:rsidRDefault="005D329C" w:rsidP="005D329C">
      <w:pPr>
        <w:spacing w:line="360" w:lineRule="auto"/>
        <w:ind w:firstLine="851"/>
        <w:jc w:val="both"/>
      </w:pPr>
      <w:r w:rsidRPr="00EA26D9">
        <w:t>1</w:t>
      </w:r>
      <w:r w:rsidR="006039EE">
        <w:t>7</w:t>
      </w:r>
      <w:r w:rsidRPr="00EA26D9">
        <w:t xml:space="preserve">. </w:t>
      </w:r>
      <w:r w:rsidR="00984B2D" w:rsidRPr="00EA26D9">
        <w:t xml:space="preserve">Tarnybos direktoriaus patvirtintas </w:t>
      </w:r>
      <w:r w:rsidR="001273A2">
        <w:rPr>
          <w:bCs/>
        </w:rPr>
        <w:t>f</w:t>
      </w:r>
      <w:r w:rsidR="00984B2D" w:rsidRPr="00EA26D9">
        <w:rPr>
          <w:bCs/>
        </w:rPr>
        <w:t xml:space="preserve">itosanitarinių patikrinimų planas </w:t>
      </w:r>
      <w:r w:rsidR="001273A2">
        <w:rPr>
          <w:bCs/>
        </w:rPr>
        <w:t>d</w:t>
      </w:r>
      <w:r w:rsidR="00081804" w:rsidRPr="00EA26D9">
        <w:rPr>
          <w:bCs/>
        </w:rPr>
        <w:t>okumentų valdymo sistemos</w:t>
      </w:r>
      <w:r w:rsidR="00984B2D" w:rsidRPr="00EA26D9">
        <w:rPr>
          <w:bCs/>
        </w:rPr>
        <w:t xml:space="preserve"> priemonėmis teikiamas susipažinti Veiklos koordinavimo ir tarptautinių ryšių skyriaus bei Finansų ir veiklos planavimo skyriaus vedėjams.</w:t>
      </w:r>
    </w:p>
    <w:p w14:paraId="598490D3" w14:textId="77777777" w:rsidR="005D329C" w:rsidRDefault="00984B2D" w:rsidP="005D329C">
      <w:pPr>
        <w:spacing w:line="360" w:lineRule="auto"/>
        <w:ind w:firstLine="851"/>
        <w:jc w:val="both"/>
      </w:pPr>
      <w:r w:rsidRPr="00EA26D9">
        <w:t>1</w:t>
      </w:r>
      <w:r w:rsidR="006039EE">
        <w:t>8</w:t>
      </w:r>
      <w:r w:rsidRPr="00EA26D9">
        <w:t xml:space="preserve">. </w:t>
      </w:r>
      <w:r w:rsidR="00436898">
        <w:t>T</w:t>
      </w:r>
      <w:r w:rsidR="00436898" w:rsidRPr="00820BC8">
        <w:t xml:space="preserve">arnybos </w:t>
      </w:r>
      <w:r w:rsidR="00436898">
        <w:t xml:space="preserve">regioninių skyrių </w:t>
      </w:r>
      <w:r w:rsidR="00436898" w:rsidRPr="00820BC8">
        <w:t>specialistai</w:t>
      </w:r>
      <w:r w:rsidR="00436898">
        <w:t xml:space="preserve"> atlieka fitosanitarinius patikrinimus. Fitosanitarinių patikrinimų </w:t>
      </w:r>
      <w:r w:rsidR="00436898">
        <w:rPr>
          <w:bCs/>
        </w:rPr>
        <w:t>metu patikrina</w:t>
      </w:r>
      <w:r w:rsidR="00436898" w:rsidRPr="00820BC8">
        <w:t xml:space="preserve"> ūkio subjekto veiklos dokumentus, vizualiai įvertina ūkio subjektų veiklos ir objektų, kuriuose palankios sąlygos kenksmingiesiems organizmams plisti, vietą ar teritoriją</w:t>
      </w:r>
      <w:r w:rsidR="00436898">
        <w:t xml:space="preserve">, bei atlieka kitus su fitosanitariniais patikrinimais </w:t>
      </w:r>
      <w:r w:rsidR="00436898" w:rsidRPr="00E62EBB">
        <w:t>nustatytus veiksmus</w:t>
      </w:r>
      <w:r w:rsidR="00436898" w:rsidRPr="00820BC8">
        <w:t>, o esant įtarimui dėl kenksmingųjų organizmų, ima mėgini</w:t>
      </w:r>
      <w:r w:rsidR="00436898">
        <w:t>us</w:t>
      </w:r>
      <w:r w:rsidR="00436898" w:rsidRPr="00820BC8">
        <w:t xml:space="preserve"> laboratoriniams tyrimams.</w:t>
      </w:r>
    </w:p>
    <w:p w14:paraId="4DB4CD96" w14:textId="77777777" w:rsidR="009677D7" w:rsidRPr="008313DC" w:rsidRDefault="009677D7" w:rsidP="009677D7">
      <w:pPr>
        <w:pStyle w:val="Sraopastraipa"/>
        <w:spacing w:after="0" w:line="360" w:lineRule="auto"/>
        <w:ind w:left="0"/>
        <w:jc w:val="both"/>
        <w:rPr>
          <w:rFonts w:ascii="Times New Roman" w:hAnsi="Times New Roman"/>
          <w:i/>
          <w:sz w:val="20"/>
          <w:szCs w:val="20"/>
        </w:rPr>
      </w:pPr>
      <w:r w:rsidRPr="008313DC">
        <w:rPr>
          <w:rFonts w:ascii="Times New Roman" w:hAnsi="Times New Roman"/>
          <w:i/>
          <w:sz w:val="20"/>
          <w:szCs w:val="20"/>
        </w:rPr>
        <w:t>Pakeitimai:</w:t>
      </w:r>
    </w:p>
    <w:p w14:paraId="2C3FD2A7" w14:textId="77777777" w:rsidR="009677D7" w:rsidRPr="009677D7" w:rsidRDefault="009677D7" w:rsidP="009677D7">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2021 m. lapkričio 30 d. įsakymas Nr. A1-705</w:t>
      </w:r>
    </w:p>
    <w:p w14:paraId="27811E5F" w14:textId="77777777" w:rsidR="005D329C" w:rsidRDefault="005D329C" w:rsidP="005D329C">
      <w:pPr>
        <w:spacing w:line="360" w:lineRule="auto"/>
        <w:ind w:firstLine="851"/>
        <w:jc w:val="both"/>
      </w:pPr>
      <w:r w:rsidRPr="00EA26D9">
        <w:t>1</w:t>
      </w:r>
      <w:r w:rsidR="006039EE">
        <w:t>9</w:t>
      </w:r>
      <w:r w:rsidRPr="00EA26D9">
        <w:t xml:space="preserve">. </w:t>
      </w:r>
      <w:proofErr w:type="spellStart"/>
      <w:r w:rsidR="00436898" w:rsidRPr="00820BC8">
        <w:t>Fitosanitarijos</w:t>
      </w:r>
      <w:proofErr w:type="spellEnd"/>
      <w:r w:rsidR="00436898" w:rsidRPr="00820BC8">
        <w:t xml:space="preserve"> skyriaus vedėjas užtikrina, kad specialistai, kurie </w:t>
      </w:r>
      <w:r w:rsidR="00436898">
        <w:t xml:space="preserve">atliko </w:t>
      </w:r>
      <w:r w:rsidR="00436898" w:rsidRPr="00820BC8">
        <w:t>ūkio subjektų veiklos ir objektų, kuriuose palankios sąlygos kenksmingiesiems organizmams plisti, rizik</w:t>
      </w:r>
      <w:r w:rsidR="00436898">
        <w:t>os vertinimą ir jų priskyrimą rizikos grupei</w:t>
      </w:r>
      <w:r w:rsidR="00436898" w:rsidRPr="00820BC8">
        <w:t>, nebūtų skiriami atlikti ūkio subjektų veiklų ir objektų</w:t>
      </w:r>
      <w:r w:rsidR="00436898">
        <w:t xml:space="preserve">, kuriuose </w:t>
      </w:r>
      <w:r w:rsidR="00436898" w:rsidRPr="00A76E66">
        <w:rPr>
          <w:color w:val="000000"/>
        </w:rPr>
        <w:t>palankios sąlygos kenksmingiesiems organizmams plisti</w:t>
      </w:r>
      <w:r w:rsidR="00436898">
        <w:rPr>
          <w:color w:val="000000"/>
        </w:rPr>
        <w:t>,</w:t>
      </w:r>
      <w:r w:rsidR="00436898" w:rsidRPr="00820BC8">
        <w:t xml:space="preserve"> fitosanitarinių patikrinimų.</w:t>
      </w:r>
    </w:p>
    <w:p w14:paraId="1F76E3DA" w14:textId="77777777" w:rsidR="009677D7" w:rsidRPr="008313DC" w:rsidRDefault="009677D7" w:rsidP="009677D7">
      <w:pPr>
        <w:pStyle w:val="Sraopastraipa"/>
        <w:spacing w:after="0" w:line="360" w:lineRule="auto"/>
        <w:ind w:left="0"/>
        <w:jc w:val="both"/>
        <w:rPr>
          <w:rFonts w:ascii="Times New Roman" w:hAnsi="Times New Roman"/>
          <w:i/>
          <w:sz w:val="20"/>
          <w:szCs w:val="20"/>
        </w:rPr>
      </w:pPr>
      <w:bookmarkStart w:id="5" w:name="_Hlk152766597"/>
      <w:r w:rsidRPr="008313DC">
        <w:rPr>
          <w:rFonts w:ascii="Times New Roman" w:hAnsi="Times New Roman"/>
          <w:i/>
          <w:sz w:val="20"/>
          <w:szCs w:val="20"/>
        </w:rPr>
        <w:t>Pakeitimai:</w:t>
      </w:r>
    </w:p>
    <w:p w14:paraId="2F0FE4A8" w14:textId="77777777" w:rsidR="009677D7" w:rsidRPr="009677D7" w:rsidRDefault="009677D7" w:rsidP="009677D7">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2021 m. lapkričio 30 d. įsakymas Nr. A1-705</w:t>
      </w:r>
      <w:bookmarkEnd w:id="5"/>
    </w:p>
    <w:p w14:paraId="0FC3DF4B" w14:textId="77777777" w:rsidR="005D329C" w:rsidRPr="00EA26D9" w:rsidRDefault="005D329C" w:rsidP="005D329C">
      <w:pPr>
        <w:ind w:firstLine="703"/>
        <w:jc w:val="center"/>
        <w:rPr>
          <w:b/>
        </w:rPr>
      </w:pPr>
    </w:p>
    <w:p w14:paraId="685A070D" w14:textId="77777777" w:rsidR="005D329C" w:rsidRPr="00EA26D9" w:rsidRDefault="005D329C" w:rsidP="005D329C">
      <w:pPr>
        <w:jc w:val="center"/>
        <w:rPr>
          <w:b/>
        </w:rPr>
      </w:pPr>
      <w:r w:rsidRPr="00EA26D9">
        <w:rPr>
          <w:b/>
        </w:rPr>
        <w:t>IV SKYRIUS</w:t>
      </w:r>
    </w:p>
    <w:p w14:paraId="60CD7083" w14:textId="77777777" w:rsidR="005D329C" w:rsidRPr="00EA26D9" w:rsidRDefault="005D329C" w:rsidP="005D329C">
      <w:pPr>
        <w:jc w:val="center"/>
        <w:rPr>
          <w:b/>
        </w:rPr>
      </w:pPr>
      <w:r w:rsidRPr="00EA26D9">
        <w:rPr>
          <w:b/>
        </w:rPr>
        <w:t xml:space="preserve"> BAIGIAMOSIOS NUOSTATOS</w:t>
      </w:r>
    </w:p>
    <w:p w14:paraId="446235EB" w14:textId="77777777" w:rsidR="005D329C" w:rsidRPr="00EA26D9" w:rsidRDefault="005D329C" w:rsidP="005D329C">
      <w:pPr>
        <w:ind w:firstLine="703"/>
        <w:jc w:val="center"/>
        <w:rPr>
          <w:b/>
        </w:rPr>
      </w:pPr>
    </w:p>
    <w:p w14:paraId="06BB5A88" w14:textId="77777777" w:rsidR="005D329C" w:rsidRPr="00EA26D9" w:rsidRDefault="006039EE" w:rsidP="005D329C">
      <w:pPr>
        <w:spacing w:line="360" w:lineRule="auto"/>
        <w:ind w:firstLine="851"/>
        <w:jc w:val="both"/>
      </w:pPr>
      <w:r>
        <w:t>20</w:t>
      </w:r>
      <w:r w:rsidR="005D329C" w:rsidRPr="00EA26D9">
        <w:t>. Pasikeitusių įstatymų, Lietuvos Respublikos Vyriausybės nutarimų ir kitų teisės aktų nuostatomis būtina vadovautis iš karto (joms įsigaliojus), nelaukiant šio aprašo pakeitimo ar papildymo.</w:t>
      </w:r>
    </w:p>
    <w:p w14:paraId="5C8CC4EF" w14:textId="77777777" w:rsidR="009E6397" w:rsidRPr="00EA26D9" w:rsidRDefault="009B3284" w:rsidP="009E6397">
      <w:pPr>
        <w:ind w:firstLine="851"/>
        <w:jc w:val="both"/>
      </w:pPr>
      <w:r w:rsidRPr="00EA26D9">
        <w:t>2</w:t>
      </w:r>
      <w:r w:rsidR="006039EE">
        <w:t>1</w:t>
      </w:r>
      <w:r w:rsidR="005D329C" w:rsidRPr="00EA26D9">
        <w:t>. Tarnybos specialistai, pažeidę šio aprašo reikalavimus, atsako teisės aktų nustatyta tvarka.</w:t>
      </w:r>
    </w:p>
    <w:p w14:paraId="1F6BE123" w14:textId="77777777" w:rsidR="00486482" w:rsidRDefault="00773496" w:rsidP="00135E1F">
      <w:pPr>
        <w:tabs>
          <w:tab w:val="left" w:pos="5954"/>
        </w:tabs>
        <w:jc w:val="center"/>
        <w:sectPr w:rsidR="00486482" w:rsidSect="00B948DB">
          <w:pgSz w:w="11906" w:h="16838"/>
          <w:pgMar w:top="0" w:right="567" w:bottom="1276" w:left="1701" w:header="567" w:footer="567" w:gutter="0"/>
          <w:pgNumType w:start="1"/>
          <w:cols w:space="1296"/>
          <w:titlePg/>
          <w:docGrid w:linePitch="360"/>
        </w:sectPr>
      </w:pPr>
      <w:r w:rsidRPr="00EA26D9">
        <w:t>_______________________</w:t>
      </w:r>
    </w:p>
    <w:p w14:paraId="08A8CD2A" w14:textId="77777777" w:rsidR="00C633ED" w:rsidRPr="00EA26D9" w:rsidRDefault="0036361F" w:rsidP="00F8313F">
      <w:pPr>
        <w:ind w:left="5954"/>
      </w:pPr>
      <w:r w:rsidRPr="00EA26D9">
        <w:t xml:space="preserve">Ūkio subjektų </w:t>
      </w:r>
      <w:r w:rsidR="0083045A" w:rsidRPr="00EA26D9">
        <w:t xml:space="preserve">veiklos </w:t>
      </w:r>
      <w:r w:rsidRPr="00EA26D9">
        <w:t>ir objektų</w:t>
      </w:r>
      <w:r w:rsidR="00135E1F" w:rsidRPr="00EA26D9">
        <w:t xml:space="preserve">, </w:t>
      </w:r>
      <w:r w:rsidR="001E6DAD" w:rsidRPr="00EA26D9">
        <w:t>kuriuose palankios sąlygos kenksmingiesiems organizmams plisti</w:t>
      </w:r>
      <w:r w:rsidRPr="00EA26D9">
        <w:t xml:space="preserve"> rizikos vertinimo</w:t>
      </w:r>
      <w:r w:rsidR="00C06D1E" w:rsidRPr="00EA26D9">
        <w:t xml:space="preserve"> </w:t>
      </w:r>
      <w:r w:rsidRPr="00EA26D9">
        <w:t>tvarkos aprašo</w:t>
      </w:r>
    </w:p>
    <w:p w14:paraId="4ED388BE" w14:textId="77777777" w:rsidR="00C633ED" w:rsidRPr="00EA26D9" w:rsidRDefault="00C633ED" w:rsidP="00F8313F">
      <w:pPr>
        <w:ind w:left="5954"/>
      </w:pPr>
      <w:r w:rsidRPr="00EA26D9">
        <w:t>1 priedas</w:t>
      </w:r>
    </w:p>
    <w:p w14:paraId="2431BB9D" w14:textId="77777777" w:rsidR="005002D5" w:rsidRPr="00EA26D9" w:rsidRDefault="005002D5" w:rsidP="00A73B5F">
      <w:pPr>
        <w:spacing w:line="360" w:lineRule="auto"/>
        <w:jc w:val="center"/>
      </w:pPr>
    </w:p>
    <w:p w14:paraId="22F740AA" w14:textId="77777777" w:rsidR="00C633ED" w:rsidRPr="00EA26D9" w:rsidRDefault="00C633ED" w:rsidP="000E33D1">
      <w:pPr>
        <w:jc w:val="center"/>
        <w:rPr>
          <w:b/>
        </w:rPr>
      </w:pPr>
      <w:r w:rsidRPr="00EA26D9">
        <w:rPr>
          <w:b/>
        </w:rPr>
        <w:t>FITOSANITARINĖS</w:t>
      </w:r>
      <w:r w:rsidR="00915095" w:rsidRPr="00EA26D9">
        <w:rPr>
          <w:b/>
        </w:rPr>
        <w:t xml:space="preserve"> </w:t>
      </w:r>
      <w:r w:rsidRPr="00EA26D9">
        <w:rPr>
          <w:b/>
        </w:rPr>
        <w:t>RIZIKOS VERTINIMO KRITERIJAI</w:t>
      </w:r>
    </w:p>
    <w:p w14:paraId="0278904E" w14:textId="77777777" w:rsidR="005002D5" w:rsidRPr="00EA26D9" w:rsidRDefault="005002D5" w:rsidP="00A73B5F">
      <w:pPr>
        <w:spacing w:line="360" w:lineRule="auto"/>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8534"/>
        <w:gridCol w:w="1088"/>
      </w:tblGrid>
      <w:tr w:rsidR="0036361F" w:rsidRPr="00EA26D9" w14:paraId="57D4F3AB"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6644ABF1" w14:textId="77777777" w:rsidR="0036361F" w:rsidRPr="00EA26D9" w:rsidRDefault="0036361F" w:rsidP="00F8313F">
            <w:pPr>
              <w:spacing w:line="360" w:lineRule="auto"/>
              <w:rPr>
                <w:b/>
                <w:i/>
              </w:rPr>
            </w:pPr>
            <w:r w:rsidRPr="00EA26D9">
              <w:rPr>
                <w:b/>
                <w:i/>
              </w:rPr>
              <w:t>Vertinimo kriterijai</w:t>
            </w:r>
            <w:r w:rsidR="001240FF" w:rsidRPr="00EA26D9">
              <w:rPr>
                <w:b/>
                <w:i/>
              </w:rPr>
              <w:t>*</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738531D0" w14:textId="77777777" w:rsidR="0036361F" w:rsidRPr="00EA26D9" w:rsidRDefault="0036361F" w:rsidP="0036361F">
            <w:pPr>
              <w:spacing w:line="360" w:lineRule="auto"/>
              <w:jc w:val="center"/>
              <w:rPr>
                <w:b/>
                <w:i/>
              </w:rPr>
            </w:pPr>
            <w:r w:rsidRPr="00EA26D9">
              <w:rPr>
                <w:b/>
                <w:i/>
              </w:rPr>
              <w:t>Balai</w:t>
            </w:r>
          </w:p>
        </w:tc>
      </w:tr>
      <w:tr w:rsidR="0036361F" w:rsidRPr="00EA26D9" w14:paraId="2B3F5212" w14:textId="77777777" w:rsidTr="00AA6080">
        <w:trPr>
          <w:trHeight w:val="766"/>
        </w:trPr>
        <w:tc>
          <w:tcPr>
            <w:tcW w:w="96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4D1BF" w14:textId="77777777" w:rsidR="0036361F" w:rsidRPr="00EA26D9" w:rsidRDefault="0036361F" w:rsidP="00F8313F">
            <w:pPr>
              <w:rPr>
                <w:b/>
              </w:rPr>
            </w:pPr>
            <w:r w:rsidRPr="00EA26D9">
              <w:rPr>
                <w:b/>
              </w:rPr>
              <w:t xml:space="preserve">1. Veiksniai, lemiantys didžiausią ūkio subjekto </w:t>
            </w:r>
            <w:r w:rsidR="008E5896" w:rsidRPr="00EA26D9">
              <w:rPr>
                <w:b/>
              </w:rPr>
              <w:t xml:space="preserve">veiklos </w:t>
            </w:r>
            <w:r w:rsidRPr="00EA26D9">
              <w:rPr>
                <w:b/>
              </w:rPr>
              <w:t>ir objekto</w:t>
            </w:r>
            <w:r w:rsidR="009478C4" w:rsidRPr="00EA26D9">
              <w:rPr>
                <w:b/>
              </w:rPr>
              <w:t>,</w:t>
            </w:r>
            <w:r w:rsidR="00377E82">
              <w:rPr>
                <w:b/>
              </w:rPr>
              <w:t xml:space="preserve"> </w:t>
            </w:r>
            <w:r w:rsidR="009478C4" w:rsidRPr="00EA26D9">
              <w:rPr>
                <w:b/>
              </w:rPr>
              <w:t>kuri</w:t>
            </w:r>
            <w:r w:rsidR="00C4752B" w:rsidRPr="00EA26D9">
              <w:rPr>
                <w:b/>
              </w:rPr>
              <w:t>am</w:t>
            </w:r>
            <w:r w:rsidR="009478C4" w:rsidRPr="00EA26D9">
              <w:rPr>
                <w:b/>
              </w:rPr>
              <w:t>e palankios sąlygos kenksmingiesiems organizmams plisti,</w:t>
            </w:r>
            <w:r w:rsidR="009478C4" w:rsidRPr="00EA26D9">
              <w:t xml:space="preserve"> </w:t>
            </w:r>
            <w:r w:rsidRPr="00EA26D9">
              <w:rPr>
                <w:b/>
              </w:rPr>
              <w:t>riziką:</w:t>
            </w:r>
          </w:p>
        </w:tc>
      </w:tr>
      <w:tr w:rsidR="0036361F" w:rsidRPr="00EA26D9" w14:paraId="38E54431"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373C5388" w14:textId="77777777" w:rsidR="0036361F" w:rsidRPr="00EA26D9" w:rsidRDefault="0036361F" w:rsidP="0036361F">
            <w:pPr>
              <w:spacing w:line="360" w:lineRule="auto"/>
              <w:jc w:val="both"/>
            </w:pPr>
            <w:r w:rsidRPr="00EA26D9">
              <w:t>1.1. Prižiūrimas kenksmingojo organizmo židinys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205D5DD4" w14:textId="77777777" w:rsidR="0036361F" w:rsidRPr="00EA26D9" w:rsidRDefault="0036361F" w:rsidP="0036361F">
            <w:pPr>
              <w:spacing w:line="360" w:lineRule="auto"/>
              <w:jc w:val="center"/>
            </w:pPr>
            <w:r w:rsidRPr="00EA26D9">
              <w:t>11</w:t>
            </w:r>
          </w:p>
        </w:tc>
      </w:tr>
      <w:tr w:rsidR="0036361F" w:rsidRPr="00EA26D9" w14:paraId="67673A5C"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4E75CBCA" w14:textId="77777777" w:rsidR="0036361F" w:rsidRPr="00EA26D9" w:rsidRDefault="0036361F" w:rsidP="00F8313F">
            <w:pPr>
              <w:spacing w:after="120"/>
              <w:jc w:val="both"/>
            </w:pPr>
            <w:r w:rsidRPr="00EA26D9">
              <w:t>1.2. Ūkio subjekto žemės ūkio valdos ar objekto</w:t>
            </w:r>
            <w:r w:rsidR="00377E82">
              <w:t>,</w:t>
            </w:r>
            <w:r w:rsidR="00C4752B" w:rsidRPr="00EA26D9">
              <w:t xml:space="preserve"> kuriame palankios sąlygos kenksmingiesiems organizmams plisti,</w:t>
            </w:r>
            <w:r w:rsidRPr="00EA26D9">
              <w:t xml:space="preserve"> teritorija ribojasi su kenksmingojo organizmo židiniu paskelbto ūkio valdomis, kai jose auga arba yra laikomi kenksmingojo organizmo pažeidžiami augalai ir (ar) augaliniai produktai</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1817E2DF" w14:textId="77777777" w:rsidR="0036361F" w:rsidRPr="00EA26D9" w:rsidRDefault="0036361F" w:rsidP="0036361F">
            <w:pPr>
              <w:jc w:val="center"/>
            </w:pPr>
            <w:r w:rsidRPr="00EA26D9">
              <w:t>11</w:t>
            </w:r>
          </w:p>
        </w:tc>
      </w:tr>
      <w:tr w:rsidR="0036361F" w:rsidRPr="00EA26D9" w14:paraId="15B7874A" w14:textId="77777777" w:rsidTr="00AA6080">
        <w:tc>
          <w:tcPr>
            <w:tcW w:w="96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36C1D8" w14:textId="77777777" w:rsidR="0036361F" w:rsidRPr="00EA26D9" w:rsidRDefault="0036361F" w:rsidP="00F8313F">
            <w:pPr>
              <w:spacing w:before="120" w:line="360" w:lineRule="auto"/>
              <w:rPr>
                <w:b/>
              </w:rPr>
            </w:pPr>
            <w:r w:rsidRPr="00EA26D9">
              <w:rPr>
                <w:b/>
              </w:rPr>
              <w:t>2. Ūkio subjekto vykdom</w:t>
            </w:r>
            <w:r w:rsidR="00E2026C" w:rsidRPr="00EA26D9">
              <w:rPr>
                <w:b/>
              </w:rPr>
              <w:t>ų</w:t>
            </w:r>
            <w:r w:rsidRPr="00EA26D9">
              <w:rPr>
                <w:b/>
              </w:rPr>
              <w:t xml:space="preserve"> veikl</w:t>
            </w:r>
            <w:r w:rsidR="00E2026C" w:rsidRPr="00EA26D9">
              <w:rPr>
                <w:b/>
              </w:rPr>
              <w:t>ų pobūdis</w:t>
            </w:r>
            <w:r w:rsidRPr="00EA26D9">
              <w:rPr>
                <w:b/>
              </w:rPr>
              <w:t>:</w:t>
            </w:r>
          </w:p>
        </w:tc>
      </w:tr>
      <w:tr w:rsidR="0036361F" w:rsidRPr="00EA26D9" w14:paraId="75E6692B"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3CCDD343" w14:textId="77777777" w:rsidR="0036361F" w:rsidRPr="00EA26D9" w:rsidRDefault="0036361F" w:rsidP="00C4752B">
            <w:pPr>
              <w:spacing w:line="360" w:lineRule="auto"/>
              <w:jc w:val="both"/>
            </w:pPr>
            <w:r w:rsidRPr="00EA26D9">
              <w:t>2.1. Sodinti skirtų augalų auginimas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3F2E7FB7" w14:textId="77777777" w:rsidR="0036361F" w:rsidRPr="00EA26D9" w:rsidRDefault="0036361F" w:rsidP="0036361F">
            <w:pPr>
              <w:spacing w:line="360" w:lineRule="auto"/>
              <w:jc w:val="center"/>
            </w:pPr>
            <w:r w:rsidRPr="00EA26D9">
              <w:t>7</w:t>
            </w:r>
          </w:p>
        </w:tc>
      </w:tr>
      <w:tr w:rsidR="0036361F" w:rsidRPr="00EA26D9" w14:paraId="45F2B9CC"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235D80B9" w14:textId="77777777" w:rsidR="0036361F" w:rsidRPr="00EA26D9" w:rsidRDefault="0036361F" w:rsidP="0036361F">
            <w:pPr>
              <w:spacing w:line="360" w:lineRule="auto"/>
              <w:jc w:val="both"/>
            </w:pPr>
            <w:r w:rsidRPr="00EA26D9">
              <w:t>2.2. Sėklinių bulvių auginimas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551FF479" w14:textId="77777777" w:rsidR="0036361F" w:rsidRPr="00EA26D9" w:rsidRDefault="0036361F" w:rsidP="0036361F">
            <w:pPr>
              <w:spacing w:line="360" w:lineRule="auto"/>
              <w:jc w:val="center"/>
            </w:pPr>
            <w:r w:rsidRPr="00EA26D9">
              <w:t>7</w:t>
            </w:r>
          </w:p>
        </w:tc>
      </w:tr>
      <w:tr w:rsidR="0036361F" w:rsidRPr="00EA26D9" w14:paraId="7E5670F1"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0BCE99E9" w14:textId="77777777" w:rsidR="0036361F" w:rsidRPr="00EA26D9" w:rsidRDefault="0036361F" w:rsidP="0036361F">
            <w:pPr>
              <w:spacing w:line="360" w:lineRule="auto"/>
              <w:jc w:val="both"/>
            </w:pPr>
            <w:r w:rsidRPr="00EA26D9">
              <w:t>2.3. Maistinių bulvių auginimas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0FF3281C" w14:textId="77777777" w:rsidR="0036361F" w:rsidRPr="00EA26D9" w:rsidRDefault="0036361F" w:rsidP="0036361F">
            <w:pPr>
              <w:spacing w:line="360" w:lineRule="auto"/>
              <w:jc w:val="center"/>
            </w:pPr>
            <w:r w:rsidRPr="00EA26D9">
              <w:t>5</w:t>
            </w:r>
          </w:p>
        </w:tc>
      </w:tr>
      <w:tr w:rsidR="0036361F" w:rsidRPr="00EA26D9" w14:paraId="0C7C9882" w14:textId="77777777" w:rsidTr="00AA6080">
        <w:trPr>
          <w:trHeight w:val="682"/>
        </w:trPr>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5537C549" w14:textId="77777777" w:rsidR="0036361F" w:rsidRPr="00EA26D9" w:rsidRDefault="0036361F">
            <w:pPr>
              <w:jc w:val="both"/>
            </w:pPr>
            <w:r w:rsidRPr="00EA26D9">
              <w:t>2.4. Kitų augalų</w:t>
            </w:r>
            <w:r w:rsidR="0002586C" w:rsidRPr="00EA26D9">
              <w:t xml:space="preserve"> (gėlės skynimui, versliniai sodai ir kt.)</w:t>
            </w:r>
            <w:r w:rsidRPr="00EA26D9">
              <w:t>, nei nurodyta šio priedo 2.1–2.3 papunkčiuose, auginimas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5798658C" w14:textId="77777777" w:rsidR="0036361F" w:rsidRPr="00EA26D9" w:rsidRDefault="0036361F" w:rsidP="0036361F">
            <w:pPr>
              <w:spacing w:line="360" w:lineRule="auto"/>
              <w:jc w:val="center"/>
            </w:pPr>
            <w:r w:rsidRPr="00EA26D9">
              <w:t>5</w:t>
            </w:r>
          </w:p>
        </w:tc>
      </w:tr>
      <w:tr w:rsidR="0036361F" w:rsidRPr="00EA26D9" w14:paraId="2F6B52FE"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22F3753E" w14:textId="77777777" w:rsidR="0036361F" w:rsidRPr="00EA26D9" w:rsidRDefault="0036361F" w:rsidP="0036361F">
            <w:pPr>
              <w:spacing w:line="360" w:lineRule="auto"/>
              <w:jc w:val="both"/>
            </w:pPr>
            <w:r w:rsidRPr="00EA26D9">
              <w:t xml:space="preserve">2.5. Medinės pakavimo medžiagos gaminimas, apdorojimas ir (ar) remontas </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70E57FF8" w14:textId="77777777" w:rsidR="0036361F" w:rsidRPr="00EA26D9" w:rsidRDefault="0036361F" w:rsidP="0036361F">
            <w:pPr>
              <w:spacing w:line="360" w:lineRule="auto"/>
              <w:jc w:val="center"/>
            </w:pPr>
            <w:r w:rsidRPr="00EA26D9">
              <w:t>5</w:t>
            </w:r>
          </w:p>
        </w:tc>
      </w:tr>
      <w:tr w:rsidR="0036361F" w:rsidRPr="00EA26D9" w14:paraId="463B5763" w14:textId="77777777" w:rsidTr="00AA6080">
        <w:trPr>
          <w:trHeight w:val="698"/>
        </w:trPr>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435BA487" w14:textId="77777777" w:rsidR="0036361F" w:rsidRPr="00EA26D9" w:rsidRDefault="0036361F" w:rsidP="009B4C2E">
            <w:pPr>
              <w:jc w:val="both"/>
            </w:pPr>
            <w:r w:rsidRPr="00EA26D9">
              <w:t>2.6. Kenksmingųjų organizmų</w:t>
            </w:r>
            <w:r w:rsidR="00984B2D" w:rsidRPr="00EA26D9">
              <w:t>, augalų ir augalinių produktų</w:t>
            </w:r>
            <w:r w:rsidRPr="00EA26D9">
              <w:t xml:space="preserve"> įvežimas, vežimas ir (ar) laikymas mokslo tikslais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2DC3A91C" w14:textId="77777777" w:rsidR="0036361F" w:rsidRPr="00EA26D9" w:rsidRDefault="0036361F" w:rsidP="0036361F">
            <w:pPr>
              <w:spacing w:line="360" w:lineRule="auto"/>
              <w:jc w:val="center"/>
            </w:pPr>
            <w:r w:rsidRPr="00EA26D9">
              <w:t>5</w:t>
            </w:r>
          </w:p>
        </w:tc>
      </w:tr>
      <w:tr w:rsidR="0036361F" w:rsidRPr="00EA26D9" w14:paraId="0726A364"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6D943DFD" w14:textId="77777777" w:rsidR="0036361F" w:rsidRPr="00EA26D9" w:rsidRDefault="0036361F" w:rsidP="00806031">
            <w:pPr>
              <w:spacing w:line="360" w:lineRule="auto"/>
              <w:jc w:val="both"/>
            </w:pPr>
            <w:r w:rsidRPr="00EA26D9">
              <w:t>2.7. Augalų, augalinių produktų ir kitų objektų įvežimas iš kitų valstybių</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6B1B089F" w14:textId="77777777" w:rsidR="0036361F" w:rsidRPr="00EA26D9" w:rsidRDefault="0036361F" w:rsidP="0036361F">
            <w:pPr>
              <w:spacing w:line="360" w:lineRule="auto"/>
              <w:jc w:val="center"/>
            </w:pPr>
            <w:r w:rsidRPr="00EA26D9">
              <w:t>3</w:t>
            </w:r>
          </w:p>
        </w:tc>
      </w:tr>
      <w:tr w:rsidR="0036361F" w:rsidRPr="00EA26D9" w14:paraId="71DC86F4" w14:textId="77777777" w:rsidTr="00AA6080">
        <w:trPr>
          <w:trHeight w:val="969"/>
        </w:trPr>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7056EEE5" w14:textId="77777777" w:rsidR="0036361F" w:rsidRPr="00EA26D9" w:rsidRDefault="0036361F" w:rsidP="0002586C">
            <w:pPr>
              <w:jc w:val="both"/>
            </w:pPr>
            <w:r w:rsidRPr="00EA26D9">
              <w:t>2.8. Patvirtintų patikrinimo vietų ir (ar) pripažintų tinkamomis laikyti augalus, augalinius produktus ir kitus objektus prekių saugojimo ir muitinio tikrinimo vietų administravimas</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5217B08A" w14:textId="77777777" w:rsidR="0036361F" w:rsidRPr="00EA26D9" w:rsidRDefault="0036361F" w:rsidP="0036361F">
            <w:pPr>
              <w:spacing w:line="360" w:lineRule="auto"/>
              <w:jc w:val="center"/>
            </w:pPr>
            <w:r w:rsidRPr="00EA26D9">
              <w:t>1</w:t>
            </w:r>
          </w:p>
        </w:tc>
      </w:tr>
      <w:tr w:rsidR="0036361F" w:rsidRPr="00EA26D9" w14:paraId="6F1583C1"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34324344" w14:textId="77777777" w:rsidR="0036361F" w:rsidRPr="00EA26D9" w:rsidRDefault="0036361F" w:rsidP="0036361F">
            <w:pPr>
              <w:spacing w:line="360" w:lineRule="auto"/>
              <w:jc w:val="both"/>
            </w:pPr>
            <w:r w:rsidRPr="00EA26D9">
              <w:t>2.9. Augalų ir (ar) augalinių produktų supirkimas Lietuvos Respublikoje</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074B4EAA" w14:textId="77777777" w:rsidR="0036361F" w:rsidRPr="00EA26D9" w:rsidRDefault="0036361F" w:rsidP="0036361F">
            <w:pPr>
              <w:spacing w:line="360" w:lineRule="auto"/>
              <w:jc w:val="center"/>
            </w:pPr>
            <w:r w:rsidRPr="00EA26D9">
              <w:t>1</w:t>
            </w:r>
          </w:p>
        </w:tc>
      </w:tr>
      <w:tr w:rsidR="0036361F" w:rsidRPr="00EA26D9" w14:paraId="094CC84C" w14:textId="77777777" w:rsidTr="00AA6080">
        <w:tc>
          <w:tcPr>
            <w:tcW w:w="96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76C8591" w14:textId="77777777" w:rsidR="0036361F" w:rsidRPr="00EA26D9" w:rsidRDefault="0036361F" w:rsidP="00F8313F">
            <w:pPr>
              <w:spacing w:before="120" w:line="360" w:lineRule="auto"/>
              <w:rPr>
                <w:b/>
              </w:rPr>
            </w:pPr>
            <w:r w:rsidRPr="00EA26D9">
              <w:rPr>
                <w:b/>
              </w:rPr>
              <w:t>3. Prižiūrimų augalų auginimo pobūdis:</w:t>
            </w:r>
          </w:p>
        </w:tc>
      </w:tr>
      <w:tr w:rsidR="0036361F" w:rsidRPr="00EA26D9" w14:paraId="6D86A819"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61ACBD0F" w14:textId="77777777" w:rsidR="0036361F" w:rsidRPr="00EA26D9" w:rsidRDefault="0036361F" w:rsidP="0036361F">
            <w:pPr>
              <w:spacing w:line="360" w:lineRule="auto"/>
              <w:jc w:val="both"/>
            </w:pPr>
            <w:r w:rsidRPr="00EA26D9">
              <w:t xml:space="preserve">3.1. Prižiūrimi augalai, auga atvirame grunte </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3ADDE428" w14:textId="77777777" w:rsidR="0036361F" w:rsidRPr="00EA26D9" w:rsidRDefault="0036361F" w:rsidP="0036361F">
            <w:pPr>
              <w:spacing w:line="360" w:lineRule="auto"/>
              <w:jc w:val="center"/>
            </w:pPr>
            <w:r w:rsidRPr="00EA26D9">
              <w:t>3</w:t>
            </w:r>
          </w:p>
        </w:tc>
      </w:tr>
      <w:tr w:rsidR="0036361F" w:rsidRPr="00EA26D9" w14:paraId="7ACAD5C4"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61EBB18E" w14:textId="77777777" w:rsidR="0036361F" w:rsidRPr="00EA26D9" w:rsidRDefault="0036361F" w:rsidP="0036361F">
            <w:pPr>
              <w:spacing w:line="360" w:lineRule="auto"/>
              <w:jc w:val="both"/>
            </w:pPr>
            <w:r w:rsidRPr="00EA26D9">
              <w:t>3.2. Prižiūrimi augalai, auga uždarame grunte</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2A0772C6" w14:textId="77777777" w:rsidR="0036361F" w:rsidRPr="00EA26D9" w:rsidRDefault="0036361F" w:rsidP="0036361F">
            <w:pPr>
              <w:spacing w:line="360" w:lineRule="auto"/>
              <w:jc w:val="center"/>
            </w:pPr>
            <w:r w:rsidRPr="00EA26D9">
              <w:t>1</w:t>
            </w:r>
          </w:p>
        </w:tc>
      </w:tr>
      <w:tr w:rsidR="0036361F" w:rsidRPr="00EA26D9" w14:paraId="55B8B790" w14:textId="77777777" w:rsidTr="00AA6080">
        <w:tc>
          <w:tcPr>
            <w:tcW w:w="96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277B71D" w14:textId="77777777" w:rsidR="0036361F" w:rsidRPr="00EA26D9" w:rsidRDefault="0036361F" w:rsidP="00F8313F">
            <w:pPr>
              <w:spacing w:before="120" w:after="120"/>
              <w:ind w:right="-117"/>
              <w:rPr>
                <w:b/>
              </w:rPr>
            </w:pPr>
            <w:r w:rsidRPr="00EA26D9">
              <w:rPr>
                <w:b/>
              </w:rPr>
              <w:t>4. Rinkai tiekiamų augalų, augalinių produktų kiekis (vnt., kg, m</w:t>
            </w:r>
            <w:r w:rsidRPr="00EA26D9">
              <w:rPr>
                <w:b/>
                <w:vertAlign w:val="superscript"/>
              </w:rPr>
              <w:t>3</w:t>
            </w:r>
            <w:r w:rsidRPr="00EA26D9">
              <w:rPr>
                <w:b/>
              </w:rPr>
              <w:t xml:space="preserve">) per </w:t>
            </w:r>
            <w:r w:rsidR="001240FF" w:rsidRPr="00EA26D9">
              <w:rPr>
                <w:b/>
              </w:rPr>
              <w:t xml:space="preserve">kalendorinius </w:t>
            </w:r>
            <w:r w:rsidRPr="00EA26D9">
              <w:rPr>
                <w:b/>
              </w:rPr>
              <w:t>metus:</w:t>
            </w:r>
          </w:p>
        </w:tc>
      </w:tr>
      <w:tr w:rsidR="0036361F" w:rsidRPr="00EA26D9" w14:paraId="70E63A0C"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2A66FBF6" w14:textId="77777777" w:rsidR="0036361F" w:rsidRPr="00EA26D9" w:rsidRDefault="0036361F" w:rsidP="0036361F">
            <w:pPr>
              <w:spacing w:line="360" w:lineRule="auto"/>
              <w:jc w:val="both"/>
            </w:pPr>
            <w:r w:rsidRPr="00EA26D9">
              <w:t>4.1. 2001 ir daugiau</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4BDCCE61" w14:textId="77777777" w:rsidR="0036361F" w:rsidRPr="00EA26D9" w:rsidRDefault="0036361F" w:rsidP="0036361F">
            <w:pPr>
              <w:spacing w:line="360" w:lineRule="auto"/>
              <w:jc w:val="center"/>
            </w:pPr>
            <w:r w:rsidRPr="00EA26D9">
              <w:t>2</w:t>
            </w:r>
          </w:p>
        </w:tc>
      </w:tr>
      <w:tr w:rsidR="0036361F" w:rsidRPr="00EA26D9" w14:paraId="0DA2EB80"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4B4DE442" w14:textId="77777777" w:rsidR="0036361F" w:rsidRPr="00EA26D9" w:rsidRDefault="0036361F">
            <w:pPr>
              <w:spacing w:line="360" w:lineRule="auto"/>
              <w:jc w:val="both"/>
            </w:pPr>
            <w:r w:rsidRPr="00EA26D9">
              <w:t xml:space="preserve">4.2. </w:t>
            </w:r>
            <w:r w:rsidR="00377E82">
              <w:t>N</w:t>
            </w:r>
            <w:r w:rsidRPr="00EA26D9">
              <w:t>uo 101 iki 2000</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063A823C" w14:textId="77777777" w:rsidR="0036361F" w:rsidRPr="00EA26D9" w:rsidRDefault="0036361F" w:rsidP="0036361F">
            <w:pPr>
              <w:spacing w:line="360" w:lineRule="auto"/>
              <w:jc w:val="center"/>
            </w:pPr>
            <w:r w:rsidRPr="00EA26D9">
              <w:t>1</w:t>
            </w:r>
          </w:p>
        </w:tc>
      </w:tr>
      <w:tr w:rsidR="0036361F" w:rsidRPr="00EA26D9" w14:paraId="1EC17494"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3E314DB7" w14:textId="77777777" w:rsidR="0036361F" w:rsidRPr="00EA26D9" w:rsidRDefault="0036361F" w:rsidP="0036361F">
            <w:pPr>
              <w:spacing w:line="360" w:lineRule="auto"/>
              <w:jc w:val="both"/>
            </w:pPr>
            <w:r w:rsidRPr="00EA26D9">
              <w:t>4.3. 100 ir mažiau</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047F3283" w14:textId="77777777" w:rsidR="0036361F" w:rsidRPr="00EA26D9" w:rsidRDefault="0036361F" w:rsidP="0036361F">
            <w:pPr>
              <w:spacing w:line="360" w:lineRule="auto"/>
              <w:jc w:val="center"/>
            </w:pPr>
            <w:r w:rsidRPr="00EA26D9">
              <w:t>0</w:t>
            </w:r>
          </w:p>
        </w:tc>
      </w:tr>
      <w:tr w:rsidR="0036361F" w:rsidRPr="00EA26D9" w14:paraId="67C852CD" w14:textId="77777777" w:rsidTr="00AA6080">
        <w:tc>
          <w:tcPr>
            <w:tcW w:w="96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5CAFFE8" w14:textId="2EB01ADB" w:rsidR="0036361F" w:rsidRPr="00EA26D9" w:rsidRDefault="00AA6080" w:rsidP="00F8313F">
            <w:pPr>
              <w:spacing w:line="360" w:lineRule="auto"/>
              <w:rPr>
                <w:b/>
              </w:rPr>
            </w:pPr>
            <w:r>
              <w:rPr>
                <w:b/>
              </w:rPr>
              <w:t>5</w:t>
            </w:r>
            <w:r w:rsidR="0036361F" w:rsidRPr="00EA26D9">
              <w:rPr>
                <w:b/>
              </w:rPr>
              <w:t xml:space="preserve">. </w:t>
            </w:r>
            <w:r w:rsidR="0011495C" w:rsidRPr="00EA26D9">
              <w:rPr>
                <w:b/>
              </w:rPr>
              <w:t>O</w:t>
            </w:r>
            <w:r w:rsidR="00871D2D" w:rsidRPr="00EA26D9">
              <w:rPr>
                <w:b/>
              </w:rPr>
              <w:t>bjektų</w:t>
            </w:r>
            <w:r w:rsidR="0011495C" w:rsidRPr="00EA26D9">
              <w:rPr>
                <w:b/>
              </w:rPr>
              <w:t>, kuriuose palankios sąlygos kenksmingiesiems</w:t>
            </w:r>
            <w:r w:rsidR="00347F9E" w:rsidRPr="00EA26D9">
              <w:rPr>
                <w:b/>
              </w:rPr>
              <w:t xml:space="preserve"> </w:t>
            </w:r>
            <w:r w:rsidR="0011495C" w:rsidRPr="00EA26D9">
              <w:rPr>
                <w:b/>
              </w:rPr>
              <w:t>organizmams plisti</w:t>
            </w:r>
            <w:r w:rsidR="00347F9E" w:rsidRPr="00EA26D9">
              <w:rPr>
                <w:b/>
              </w:rPr>
              <w:t>,</w:t>
            </w:r>
            <w:r w:rsidR="00871D2D" w:rsidRPr="00EA26D9">
              <w:rPr>
                <w:b/>
              </w:rPr>
              <w:t xml:space="preserve"> </w:t>
            </w:r>
            <w:r w:rsidR="002151EB" w:rsidRPr="00EA26D9">
              <w:rPr>
                <w:b/>
              </w:rPr>
              <w:t>paskirtis</w:t>
            </w:r>
            <w:r w:rsidR="0036361F" w:rsidRPr="00EA26D9">
              <w:rPr>
                <w:b/>
              </w:rPr>
              <w:t>:</w:t>
            </w:r>
          </w:p>
        </w:tc>
      </w:tr>
      <w:tr w:rsidR="0036361F" w:rsidRPr="00EA26D9" w14:paraId="7ADDA90E"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0B1D756B" w14:textId="523E32BA" w:rsidR="0036361F" w:rsidRPr="00EA26D9" w:rsidRDefault="00AA6080" w:rsidP="00F8313F">
            <w:pPr>
              <w:spacing w:after="120"/>
              <w:jc w:val="both"/>
            </w:pPr>
            <w:r>
              <w:t>5</w:t>
            </w:r>
            <w:r w:rsidR="0036361F" w:rsidRPr="00EA26D9">
              <w:t xml:space="preserve">.1. Vieša prekybos prižiūrimais augalais ir (ar) augaliniais produktais vieta (turgavietė, mugė ir </w:t>
            </w:r>
            <w:r w:rsidR="002F3B20" w:rsidRPr="00EA26D9">
              <w:t>kt</w:t>
            </w:r>
            <w:r w:rsidR="0036361F" w:rsidRPr="00EA26D9">
              <w:t>.)</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042E2F6A" w14:textId="77777777" w:rsidR="0036361F" w:rsidRPr="00EA26D9" w:rsidRDefault="0036361F" w:rsidP="0036361F">
            <w:pPr>
              <w:jc w:val="center"/>
            </w:pPr>
            <w:r w:rsidRPr="00EA26D9">
              <w:t>9</w:t>
            </w:r>
          </w:p>
        </w:tc>
      </w:tr>
      <w:tr w:rsidR="0036361F" w:rsidRPr="00EA26D9" w14:paraId="03899899"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24AB7D17" w14:textId="52B22712" w:rsidR="0036361F" w:rsidRPr="00EA26D9" w:rsidRDefault="00AA6080" w:rsidP="002F3B20">
            <w:pPr>
              <w:spacing w:line="360" w:lineRule="auto"/>
              <w:jc w:val="both"/>
            </w:pPr>
            <w:r>
              <w:t>5</w:t>
            </w:r>
            <w:r w:rsidR="0036361F" w:rsidRPr="00EA26D9">
              <w:t>.2. Sodininkų bendrij</w:t>
            </w:r>
            <w:r w:rsidR="002F3B20" w:rsidRPr="00EA26D9">
              <w:t>os teritorija</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61EAB0B2" w14:textId="77777777" w:rsidR="0036361F" w:rsidRPr="00EA26D9" w:rsidRDefault="0036361F" w:rsidP="002F3B20">
            <w:pPr>
              <w:spacing w:line="360" w:lineRule="auto"/>
              <w:jc w:val="center"/>
            </w:pPr>
            <w:r w:rsidRPr="00EA26D9">
              <w:t>5</w:t>
            </w:r>
          </w:p>
        </w:tc>
      </w:tr>
      <w:tr w:rsidR="00A67A3F" w:rsidRPr="00EA26D9" w14:paraId="6166E060"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tcPr>
          <w:p w14:paraId="50AFE9B1" w14:textId="4DD2C349" w:rsidR="00A67A3F" w:rsidRPr="00EA26D9" w:rsidRDefault="00AA6080" w:rsidP="00F8313F">
            <w:pPr>
              <w:spacing w:after="120"/>
              <w:jc w:val="both"/>
            </w:pPr>
            <w:r>
              <w:t>5</w:t>
            </w:r>
            <w:r w:rsidR="00A67A3F" w:rsidRPr="00EA26D9">
              <w:t xml:space="preserve">.3. Logistikos centras, </w:t>
            </w:r>
            <w:r w:rsidR="0021568E">
              <w:t>prižiūrintis</w:t>
            </w:r>
            <w:r w:rsidR="0021568E" w:rsidRPr="00EA26D9">
              <w:t xml:space="preserve"> </w:t>
            </w:r>
            <w:r w:rsidR="00A67A3F" w:rsidRPr="00EA26D9">
              <w:t>krovinius, atvežamus su medine pakavimo medžiaga iš rizikos šalių</w:t>
            </w:r>
          </w:p>
        </w:tc>
        <w:tc>
          <w:tcPr>
            <w:tcW w:w="1088" w:type="dxa"/>
            <w:tcBorders>
              <w:top w:val="single" w:sz="6" w:space="0" w:color="000000"/>
              <w:left w:val="single" w:sz="6" w:space="0" w:color="000000"/>
              <w:bottom w:val="single" w:sz="6" w:space="0" w:color="000000"/>
              <w:right w:val="single" w:sz="6" w:space="0" w:color="000000"/>
            </w:tcBorders>
            <w:shd w:val="clear" w:color="auto" w:fill="FFFFFF"/>
          </w:tcPr>
          <w:p w14:paraId="07A5096A" w14:textId="77777777" w:rsidR="00A67A3F" w:rsidRPr="00EA26D9" w:rsidRDefault="00A67A3F" w:rsidP="0036361F">
            <w:pPr>
              <w:jc w:val="center"/>
            </w:pPr>
            <w:r w:rsidRPr="00EA26D9">
              <w:t>3</w:t>
            </w:r>
          </w:p>
        </w:tc>
      </w:tr>
      <w:tr w:rsidR="0036361F" w:rsidRPr="00EA26D9" w14:paraId="536EF11F" w14:textId="77777777" w:rsidTr="00AA6080">
        <w:tc>
          <w:tcPr>
            <w:tcW w:w="8534" w:type="dxa"/>
            <w:tcBorders>
              <w:top w:val="single" w:sz="6" w:space="0" w:color="000000"/>
              <w:left w:val="single" w:sz="6" w:space="0" w:color="000000"/>
              <w:bottom w:val="single" w:sz="6" w:space="0" w:color="000000"/>
              <w:right w:val="single" w:sz="6" w:space="0" w:color="000000"/>
            </w:tcBorders>
            <w:shd w:val="clear" w:color="auto" w:fill="FFFFFF"/>
            <w:hideMark/>
          </w:tcPr>
          <w:p w14:paraId="42BABDE8" w14:textId="2F29B5B2" w:rsidR="0036361F" w:rsidRPr="00EA26D9" w:rsidRDefault="00AA6080" w:rsidP="002F3B20">
            <w:pPr>
              <w:spacing w:line="360" w:lineRule="auto"/>
              <w:jc w:val="both"/>
            </w:pPr>
            <w:r>
              <w:t>5</w:t>
            </w:r>
            <w:r w:rsidR="0036361F" w:rsidRPr="00EA26D9">
              <w:t>.</w:t>
            </w:r>
            <w:r w:rsidR="00A67A3F" w:rsidRPr="00EA26D9">
              <w:t>4</w:t>
            </w:r>
            <w:r w:rsidR="0036361F" w:rsidRPr="00EA26D9">
              <w:t xml:space="preserve">. Viešai lankoma (rekreacinė) teritorija (parkas ir </w:t>
            </w:r>
            <w:r w:rsidR="002F3B20" w:rsidRPr="00EA26D9">
              <w:t>kita vieta</w:t>
            </w:r>
            <w:r w:rsidR="0036361F" w:rsidRPr="00EA26D9">
              <w:t>)</w:t>
            </w:r>
          </w:p>
        </w:tc>
        <w:tc>
          <w:tcPr>
            <w:tcW w:w="1088" w:type="dxa"/>
            <w:tcBorders>
              <w:top w:val="single" w:sz="6" w:space="0" w:color="000000"/>
              <w:left w:val="single" w:sz="6" w:space="0" w:color="000000"/>
              <w:bottom w:val="single" w:sz="6" w:space="0" w:color="000000"/>
              <w:right w:val="single" w:sz="6" w:space="0" w:color="000000"/>
            </w:tcBorders>
            <w:shd w:val="clear" w:color="auto" w:fill="FFFFFF"/>
            <w:hideMark/>
          </w:tcPr>
          <w:p w14:paraId="111450DD" w14:textId="77777777" w:rsidR="0036361F" w:rsidRPr="00EA26D9" w:rsidRDefault="0036361F" w:rsidP="0036361F">
            <w:pPr>
              <w:spacing w:line="360" w:lineRule="auto"/>
              <w:jc w:val="center"/>
            </w:pPr>
            <w:r w:rsidRPr="00EA26D9">
              <w:t>2</w:t>
            </w:r>
          </w:p>
        </w:tc>
      </w:tr>
    </w:tbl>
    <w:p w14:paraId="62250D00" w14:textId="77777777" w:rsidR="00D04E80" w:rsidRPr="00EA26D9" w:rsidRDefault="00D04E80" w:rsidP="00D04E80">
      <w:pPr>
        <w:jc w:val="both"/>
      </w:pPr>
    </w:p>
    <w:p w14:paraId="42709191" w14:textId="77777777" w:rsidR="001240FF" w:rsidRPr="00671135" w:rsidRDefault="001240FF" w:rsidP="00D04E80">
      <w:pPr>
        <w:jc w:val="both"/>
        <w:rPr>
          <w:sz w:val="20"/>
          <w:szCs w:val="20"/>
        </w:rPr>
      </w:pPr>
      <w:r w:rsidRPr="00671135">
        <w:rPr>
          <w:sz w:val="20"/>
          <w:szCs w:val="20"/>
        </w:rPr>
        <w:t xml:space="preserve">* </w:t>
      </w:r>
      <w:r w:rsidR="00377E82" w:rsidRPr="00671135">
        <w:rPr>
          <w:sz w:val="20"/>
          <w:szCs w:val="20"/>
        </w:rPr>
        <w:t>K</w:t>
      </w:r>
      <w:r w:rsidRPr="00671135">
        <w:rPr>
          <w:sz w:val="20"/>
          <w:szCs w:val="20"/>
        </w:rPr>
        <w:t>ai ūkio subjekto vykdoma veikla ar objektas</w:t>
      </w:r>
      <w:r w:rsidR="00F42D60" w:rsidRPr="00671135">
        <w:rPr>
          <w:sz w:val="20"/>
          <w:szCs w:val="20"/>
        </w:rPr>
        <w:t>, kuriame palankios sąlygos kenksmingiesiems organizmams plisti,</w:t>
      </w:r>
      <w:r w:rsidRPr="00671135">
        <w:rPr>
          <w:sz w:val="20"/>
          <w:szCs w:val="20"/>
        </w:rPr>
        <w:t xml:space="preserve"> negali būti įvertint</w:t>
      </w:r>
      <w:r w:rsidR="00F42D60" w:rsidRPr="00671135">
        <w:rPr>
          <w:sz w:val="20"/>
          <w:szCs w:val="20"/>
        </w:rPr>
        <w:t>i</w:t>
      </w:r>
      <w:r w:rsidRPr="00671135">
        <w:rPr>
          <w:sz w:val="20"/>
          <w:szCs w:val="20"/>
        </w:rPr>
        <w:t xml:space="preserve"> pagal </w:t>
      </w:r>
      <w:r w:rsidR="00F42D60" w:rsidRPr="00671135">
        <w:rPr>
          <w:sz w:val="20"/>
          <w:szCs w:val="20"/>
        </w:rPr>
        <w:t>šiame</w:t>
      </w:r>
      <w:r w:rsidRPr="00671135">
        <w:rPr>
          <w:sz w:val="20"/>
          <w:szCs w:val="20"/>
        </w:rPr>
        <w:t xml:space="preserve"> priede nurodytą rizikos vertinimo kriterijų, langelis nepildomas</w:t>
      </w:r>
      <w:r w:rsidR="0002586C" w:rsidRPr="00671135">
        <w:rPr>
          <w:sz w:val="20"/>
          <w:szCs w:val="20"/>
        </w:rPr>
        <w:t>.</w:t>
      </w:r>
    </w:p>
    <w:p w14:paraId="738D35F9" w14:textId="77777777" w:rsidR="0020578E" w:rsidRPr="00F8313F" w:rsidRDefault="0020578E" w:rsidP="00D04E80">
      <w:pPr>
        <w:jc w:val="both"/>
        <w:rPr>
          <w:sz w:val="20"/>
          <w:szCs w:val="20"/>
        </w:rPr>
      </w:pPr>
      <w:r w:rsidRPr="00671135">
        <w:rPr>
          <w:sz w:val="20"/>
          <w:szCs w:val="20"/>
        </w:rPr>
        <w:t>*</w:t>
      </w:r>
      <w:r w:rsidR="001240FF" w:rsidRPr="00671135">
        <w:rPr>
          <w:sz w:val="20"/>
          <w:szCs w:val="20"/>
        </w:rPr>
        <w:t>*</w:t>
      </w:r>
      <w:r w:rsidRPr="00671135">
        <w:rPr>
          <w:sz w:val="20"/>
          <w:szCs w:val="20"/>
        </w:rPr>
        <w:t xml:space="preserve"> </w:t>
      </w:r>
      <w:r w:rsidR="0021568E" w:rsidRPr="00671135">
        <w:rPr>
          <w:sz w:val="20"/>
          <w:szCs w:val="20"/>
        </w:rPr>
        <w:t>Į</w:t>
      </w:r>
      <w:r w:rsidRPr="00671135">
        <w:rPr>
          <w:sz w:val="20"/>
          <w:szCs w:val="20"/>
        </w:rPr>
        <w:t>spėjimai, kurie buvo surašyti vadovaujantis Mažareikšmių teisės aktų reikalavimų pažeidimų nustatymo rekomendacijomis</w:t>
      </w:r>
      <w:r w:rsidR="00D04E80" w:rsidRPr="00671135">
        <w:rPr>
          <w:sz w:val="20"/>
          <w:szCs w:val="20"/>
        </w:rPr>
        <w:t>.</w:t>
      </w:r>
    </w:p>
    <w:p w14:paraId="24CE1288" w14:textId="77777777" w:rsidR="00AA6080" w:rsidRPr="008313DC" w:rsidRDefault="00AA6080" w:rsidP="00AA6080">
      <w:pPr>
        <w:pStyle w:val="Sraopastraipa"/>
        <w:spacing w:after="0" w:line="240" w:lineRule="auto"/>
        <w:ind w:left="0"/>
        <w:contextualSpacing w:val="0"/>
        <w:jc w:val="both"/>
        <w:rPr>
          <w:rFonts w:ascii="Times New Roman" w:hAnsi="Times New Roman"/>
          <w:i/>
          <w:sz w:val="20"/>
          <w:szCs w:val="20"/>
        </w:rPr>
      </w:pPr>
      <w:bookmarkStart w:id="6" w:name="_Hlk152766959"/>
      <w:r w:rsidRPr="008313DC">
        <w:rPr>
          <w:rFonts w:ascii="Times New Roman" w:hAnsi="Times New Roman"/>
          <w:i/>
          <w:sz w:val="20"/>
          <w:szCs w:val="20"/>
        </w:rPr>
        <w:t>Pakeitimai:</w:t>
      </w:r>
    </w:p>
    <w:p w14:paraId="30619856" w14:textId="10A9AAE0" w:rsidR="00AA6080" w:rsidRPr="00EA26D9" w:rsidRDefault="00AA6080" w:rsidP="00AA6080">
      <w:pPr>
        <w:jc w:val="both"/>
      </w:pPr>
      <w:r w:rsidRPr="008313DC">
        <w:rPr>
          <w:i/>
          <w:sz w:val="20"/>
          <w:szCs w:val="20"/>
        </w:rPr>
        <w:t>202</w:t>
      </w:r>
      <w:r>
        <w:rPr>
          <w:i/>
          <w:sz w:val="20"/>
          <w:szCs w:val="20"/>
        </w:rPr>
        <w:t>3</w:t>
      </w:r>
      <w:r w:rsidRPr="008313DC">
        <w:rPr>
          <w:i/>
          <w:sz w:val="20"/>
          <w:szCs w:val="20"/>
        </w:rPr>
        <w:t xml:space="preserve"> m. </w:t>
      </w:r>
      <w:r>
        <w:rPr>
          <w:i/>
          <w:sz w:val="20"/>
          <w:szCs w:val="20"/>
        </w:rPr>
        <w:t>spalio</w:t>
      </w:r>
      <w:r w:rsidRPr="008313DC">
        <w:rPr>
          <w:i/>
          <w:sz w:val="20"/>
          <w:szCs w:val="20"/>
        </w:rPr>
        <w:t xml:space="preserve"> 3</w:t>
      </w:r>
      <w:r>
        <w:rPr>
          <w:i/>
          <w:sz w:val="20"/>
          <w:szCs w:val="20"/>
        </w:rPr>
        <w:t>1</w:t>
      </w:r>
      <w:r w:rsidRPr="008313DC">
        <w:rPr>
          <w:i/>
          <w:sz w:val="20"/>
          <w:szCs w:val="20"/>
        </w:rPr>
        <w:t xml:space="preserve"> d. įsakymas Nr. A1-</w:t>
      </w:r>
      <w:r>
        <w:rPr>
          <w:i/>
          <w:sz w:val="20"/>
          <w:szCs w:val="20"/>
        </w:rPr>
        <w:t>646</w:t>
      </w:r>
      <w:bookmarkEnd w:id="6"/>
    </w:p>
    <w:p w14:paraId="783BBE59" w14:textId="77777777" w:rsidR="00E91C88" w:rsidRPr="00EA26D9" w:rsidRDefault="00E71258" w:rsidP="00D04E80">
      <w:pPr>
        <w:jc w:val="center"/>
      </w:pPr>
      <w:r w:rsidRPr="00EA26D9">
        <w:t>_______________________</w:t>
      </w:r>
    </w:p>
    <w:p w14:paraId="270263F4" w14:textId="77777777" w:rsidR="00C633ED" w:rsidRPr="00EA26D9" w:rsidRDefault="00C633ED" w:rsidP="00C633ED">
      <w:pPr>
        <w:jc w:val="both"/>
      </w:pPr>
    </w:p>
    <w:p w14:paraId="21C158CA" w14:textId="77777777" w:rsidR="00C633ED" w:rsidRPr="00EA26D9" w:rsidRDefault="00C633ED" w:rsidP="00C633ED">
      <w:pPr>
        <w:jc w:val="both"/>
      </w:pPr>
    </w:p>
    <w:p w14:paraId="11780C5C" w14:textId="77777777" w:rsidR="00C633ED" w:rsidRPr="00EA26D9" w:rsidRDefault="00C633ED" w:rsidP="00081804">
      <w:pPr>
        <w:jc w:val="both"/>
        <w:sectPr w:rsidR="00C633ED" w:rsidRPr="00EA26D9" w:rsidSect="002A48AD">
          <w:type w:val="nextColumn"/>
          <w:pgSz w:w="11906" w:h="16838"/>
          <w:pgMar w:top="1134" w:right="567" w:bottom="1134" w:left="1701" w:header="567" w:footer="567" w:gutter="0"/>
          <w:pgNumType w:start="1"/>
          <w:cols w:space="1296"/>
          <w:titlePg/>
          <w:docGrid w:linePitch="360"/>
        </w:sectPr>
      </w:pPr>
    </w:p>
    <w:p w14:paraId="457EEA22" w14:textId="77777777" w:rsidR="00436898" w:rsidRPr="00ED5E80" w:rsidRDefault="00436898" w:rsidP="00436898">
      <w:pPr>
        <w:ind w:left="9072"/>
      </w:pPr>
      <w:bookmarkStart w:id="7" w:name="_Hlk88053325"/>
      <w:r w:rsidRPr="00ED5E80">
        <w:t>Ūkio subjektų veiklos ir objektų, kuriuose palankios sąlygos kenksmingiesiems organizmams plisti, rizikos vertinimo tvarkos aprašo</w:t>
      </w:r>
    </w:p>
    <w:p w14:paraId="30E8E37C" w14:textId="77777777" w:rsidR="00436898" w:rsidRPr="00ED5E80" w:rsidRDefault="00436898" w:rsidP="00436898">
      <w:pPr>
        <w:ind w:left="9072"/>
      </w:pPr>
      <w:r w:rsidRPr="00ED5E80">
        <w:t>2 priedas</w:t>
      </w:r>
    </w:p>
    <w:p w14:paraId="716BCA4F" w14:textId="77777777" w:rsidR="00436898" w:rsidRPr="00ED5E80" w:rsidRDefault="00436898" w:rsidP="00436898"/>
    <w:p w14:paraId="4F3D36BA" w14:textId="77777777" w:rsidR="00436898" w:rsidRPr="009B1074" w:rsidRDefault="00436898" w:rsidP="00436898">
      <w:pPr>
        <w:jc w:val="center"/>
        <w:rPr>
          <w:b/>
        </w:rPr>
      </w:pPr>
      <w:r w:rsidRPr="009B1074">
        <w:rPr>
          <w:b/>
        </w:rPr>
        <w:t>(</w:t>
      </w:r>
      <w:r>
        <w:rPr>
          <w:b/>
        </w:rPr>
        <w:t xml:space="preserve">Fitosanitarinės </w:t>
      </w:r>
      <w:r w:rsidRPr="009B1074">
        <w:rPr>
          <w:b/>
        </w:rPr>
        <w:t>rizikos vertinimo suvestinės formos pavyzdys)</w:t>
      </w:r>
    </w:p>
    <w:p w14:paraId="7A696B7D" w14:textId="77777777" w:rsidR="00436898" w:rsidRPr="00ED5E80" w:rsidRDefault="00436898" w:rsidP="00436898">
      <w:pPr>
        <w:jc w:val="center"/>
      </w:pPr>
    </w:p>
    <w:p w14:paraId="394D8628" w14:textId="77777777" w:rsidR="00436898" w:rsidRPr="00651E10" w:rsidRDefault="00436898" w:rsidP="00436898">
      <w:pPr>
        <w:jc w:val="center"/>
        <w:rPr>
          <w:b/>
        </w:rPr>
      </w:pPr>
      <w:r w:rsidRPr="009B1074">
        <w:rPr>
          <w:b/>
        </w:rPr>
        <w:t>FITOSANITARINĖS RIZIKOS VERTINIMO SUVESTINĖ</w:t>
      </w:r>
    </w:p>
    <w:p w14:paraId="6E208E29" w14:textId="77777777" w:rsidR="00436898" w:rsidRPr="007041FC" w:rsidRDefault="00436898" w:rsidP="00436898">
      <w:pPr>
        <w:jc w:val="center"/>
        <w:rPr>
          <w:b/>
        </w:rPr>
      </w:pPr>
    </w:p>
    <w:p w14:paraId="71FAAEBB" w14:textId="77777777" w:rsidR="00436898" w:rsidRPr="007041FC" w:rsidRDefault="00436898" w:rsidP="00436898"/>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688"/>
        <w:gridCol w:w="1002"/>
        <w:gridCol w:w="847"/>
        <w:gridCol w:w="195"/>
        <w:gridCol w:w="718"/>
        <w:gridCol w:w="1076"/>
        <w:gridCol w:w="267"/>
        <w:gridCol w:w="630"/>
        <w:gridCol w:w="245"/>
        <w:gridCol w:w="460"/>
        <w:gridCol w:w="551"/>
        <w:gridCol w:w="89"/>
        <w:gridCol w:w="564"/>
        <w:gridCol w:w="782"/>
        <w:gridCol w:w="845"/>
        <w:gridCol w:w="818"/>
        <w:gridCol w:w="179"/>
        <w:gridCol w:w="1005"/>
        <w:gridCol w:w="1037"/>
        <w:gridCol w:w="1048"/>
      </w:tblGrid>
      <w:tr w:rsidR="00AA6080" w:rsidRPr="00AA6080" w14:paraId="734B7B01" w14:textId="77777777" w:rsidTr="0068094F">
        <w:trPr>
          <w:trHeight w:val="451"/>
        </w:trPr>
        <w:tc>
          <w:tcPr>
            <w:tcW w:w="671" w:type="dxa"/>
            <w:vMerge w:val="restart"/>
            <w:shd w:val="clear" w:color="auto" w:fill="auto"/>
          </w:tcPr>
          <w:p w14:paraId="62ADB96F" w14:textId="77777777" w:rsidR="00AA6080" w:rsidRPr="00AA6080" w:rsidRDefault="00AA6080" w:rsidP="00AA6080">
            <w:pPr>
              <w:overflowPunct w:val="0"/>
              <w:autoSpaceDE w:val="0"/>
              <w:autoSpaceDN w:val="0"/>
              <w:adjustRightInd w:val="0"/>
              <w:textAlignment w:val="baseline"/>
              <w:rPr>
                <w:b/>
                <w:bCs/>
                <w:lang w:eastAsia="en-US"/>
              </w:rPr>
            </w:pPr>
            <w:r w:rsidRPr="00AA6080">
              <w:rPr>
                <w:b/>
                <w:bCs/>
                <w:lang w:eastAsia="en-US"/>
              </w:rPr>
              <w:t>Eil. Nr.</w:t>
            </w:r>
          </w:p>
        </w:tc>
        <w:tc>
          <w:tcPr>
            <w:tcW w:w="2537" w:type="dxa"/>
            <w:gridSpan w:val="3"/>
            <w:vMerge w:val="restart"/>
            <w:shd w:val="clear" w:color="auto" w:fill="auto"/>
            <w:vAlign w:val="center"/>
          </w:tcPr>
          <w:p w14:paraId="3DAFC671" w14:textId="77777777" w:rsidR="00AA6080" w:rsidRPr="00AA6080" w:rsidRDefault="00AA6080" w:rsidP="00AA6080">
            <w:pPr>
              <w:overflowPunct w:val="0"/>
              <w:autoSpaceDE w:val="0"/>
              <w:autoSpaceDN w:val="0"/>
              <w:adjustRightInd w:val="0"/>
              <w:jc w:val="center"/>
              <w:textAlignment w:val="baseline"/>
              <w:rPr>
                <w:b/>
                <w:bCs/>
                <w:lang w:eastAsia="en-US"/>
              </w:rPr>
            </w:pPr>
            <w:r w:rsidRPr="00AA6080">
              <w:rPr>
                <w:b/>
                <w:bCs/>
                <w:lang w:eastAsia="en-US"/>
              </w:rPr>
              <w:t>Ūkio subjekto ar objekto, kuriame palankios sąlygos kenksmingiems organizmams plisti:</w:t>
            </w:r>
          </w:p>
        </w:tc>
        <w:tc>
          <w:tcPr>
            <w:tcW w:w="913" w:type="dxa"/>
            <w:gridSpan w:val="2"/>
            <w:vMerge w:val="restart"/>
            <w:shd w:val="clear" w:color="auto" w:fill="auto"/>
          </w:tcPr>
          <w:p w14:paraId="1B5CC534" w14:textId="77777777" w:rsidR="00AA6080" w:rsidRPr="00AA6080" w:rsidRDefault="00AA6080" w:rsidP="00AA6080">
            <w:pPr>
              <w:overflowPunct w:val="0"/>
              <w:autoSpaceDE w:val="0"/>
              <w:autoSpaceDN w:val="0"/>
              <w:adjustRightInd w:val="0"/>
              <w:jc w:val="center"/>
              <w:textAlignment w:val="baseline"/>
              <w:rPr>
                <w:bCs/>
                <w:lang w:eastAsia="en-US"/>
              </w:rPr>
            </w:pPr>
            <w:r w:rsidRPr="00AA6080">
              <w:rPr>
                <w:b/>
                <w:bCs/>
                <w:lang w:eastAsia="en-US"/>
              </w:rPr>
              <w:t>Patikrinimo tipas</w:t>
            </w:r>
            <w:r w:rsidRPr="00AA6080">
              <w:rPr>
                <w:bCs/>
                <w:lang w:eastAsia="en-US"/>
              </w:rPr>
              <w:t>*</w:t>
            </w:r>
          </w:p>
        </w:tc>
        <w:tc>
          <w:tcPr>
            <w:tcW w:w="9596" w:type="dxa"/>
            <w:gridSpan w:val="15"/>
            <w:shd w:val="clear" w:color="auto" w:fill="auto"/>
          </w:tcPr>
          <w:p w14:paraId="510621CC" w14:textId="77777777" w:rsidR="00AA6080" w:rsidRPr="00AA6080" w:rsidRDefault="00AA6080" w:rsidP="00AA6080">
            <w:pPr>
              <w:overflowPunct w:val="0"/>
              <w:autoSpaceDE w:val="0"/>
              <w:autoSpaceDN w:val="0"/>
              <w:adjustRightInd w:val="0"/>
              <w:jc w:val="center"/>
              <w:textAlignment w:val="baseline"/>
              <w:rPr>
                <w:b/>
                <w:bCs/>
                <w:lang w:eastAsia="en-US"/>
              </w:rPr>
            </w:pPr>
            <w:r w:rsidRPr="00AA6080">
              <w:rPr>
                <w:b/>
                <w:bCs/>
                <w:lang w:eastAsia="en-US"/>
              </w:rPr>
              <w:t>Rizikos vertinimo kriterijai (balais)</w:t>
            </w:r>
          </w:p>
        </w:tc>
      </w:tr>
      <w:tr w:rsidR="00AA6080" w:rsidRPr="00AA6080" w14:paraId="0EB9CF96" w14:textId="77777777" w:rsidTr="0068094F">
        <w:trPr>
          <w:trHeight w:val="451"/>
        </w:trPr>
        <w:tc>
          <w:tcPr>
            <w:tcW w:w="671" w:type="dxa"/>
            <w:vMerge/>
            <w:shd w:val="clear" w:color="auto" w:fill="auto"/>
          </w:tcPr>
          <w:p w14:paraId="31BAC4C8" w14:textId="77777777" w:rsidR="00AA6080" w:rsidRPr="00AA6080" w:rsidRDefault="00AA6080" w:rsidP="00AA6080">
            <w:pPr>
              <w:overflowPunct w:val="0"/>
              <w:autoSpaceDE w:val="0"/>
              <w:autoSpaceDN w:val="0"/>
              <w:adjustRightInd w:val="0"/>
              <w:textAlignment w:val="baseline"/>
              <w:rPr>
                <w:b/>
                <w:bCs/>
                <w:lang w:eastAsia="en-US"/>
              </w:rPr>
            </w:pPr>
          </w:p>
        </w:tc>
        <w:tc>
          <w:tcPr>
            <w:tcW w:w="2537" w:type="dxa"/>
            <w:gridSpan w:val="3"/>
            <w:vMerge/>
            <w:shd w:val="clear" w:color="auto" w:fill="auto"/>
          </w:tcPr>
          <w:p w14:paraId="651C0A64" w14:textId="77777777" w:rsidR="00AA6080" w:rsidRPr="00AA6080" w:rsidRDefault="00AA6080" w:rsidP="00AA6080">
            <w:pPr>
              <w:overflowPunct w:val="0"/>
              <w:autoSpaceDE w:val="0"/>
              <w:autoSpaceDN w:val="0"/>
              <w:adjustRightInd w:val="0"/>
              <w:jc w:val="center"/>
              <w:textAlignment w:val="baseline"/>
              <w:rPr>
                <w:b/>
                <w:bCs/>
                <w:vertAlign w:val="superscript"/>
                <w:lang w:eastAsia="en-US"/>
              </w:rPr>
            </w:pPr>
          </w:p>
        </w:tc>
        <w:tc>
          <w:tcPr>
            <w:tcW w:w="913" w:type="dxa"/>
            <w:gridSpan w:val="2"/>
            <w:vMerge/>
            <w:shd w:val="clear" w:color="auto" w:fill="auto"/>
            <w:textDirection w:val="btLr"/>
          </w:tcPr>
          <w:p w14:paraId="7FC78114" w14:textId="77777777" w:rsidR="00AA6080" w:rsidRPr="00AA6080" w:rsidRDefault="00AA6080" w:rsidP="00AA6080">
            <w:pPr>
              <w:overflowPunct w:val="0"/>
              <w:autoSpaceDE w:val="0"/>
              <w:autoSpaceDN w:val="0"/>
              <w:adjustRightInd w:val="0"/>
              <w:textAlignment w:val="baseline"/>
              <w:rPr>
                <w:lang w:eastAsia="en-US"/>
              </w:rPr>
            </w:pPr>
          </w:p>
        </w:tc>
        <w:tc>
          <w:tcPr>
            <w:tcW w:w="1343" w:type="dxa"/>
            <w:gridSpan w:val="2"/>
            <w:vMerge w:val="restart"/>
            <w:shd w:val="clear" w:color="auto" w:fill="auto"/>
            <w:textDirection w:val="btLr"/>
          </w:tcPr>
          <w:p w14:paraId="23AFEBE8"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1.1. Prižiūrimas kenksmingojo organizmo židinys</w:t>
            </w:r>
          </w:p>
        </w:tc>
        <w:tc>
          <w:tcPr>
            <w:tcW w:w="875" w:type="dxa"/>
            <w:gridSpan w:val="2"/>
            <w:vMerge w:val="restart"/>
            <w:shd w:val="clear" w:color="auto" w:fill="auto"/>
            <w:textDirection w:val="btLr"/>
          </w:tcPr>
          <w:p w14:paraId="2EF9DEB3"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1.2. Valdos ribojasi su kenksmingojo organizmo židinio teritorija</w:t>
            </w:r>
          </w:p>
        </w:tc>
        <w:tc>
          <w:tcPr>
            <w:tcW w:w="460" w:type="dxa"/>
            <w:vMerge w:val="restart"/>
            <w:shd w:val="clear" w:color="auto" w:fill="auto"/>
            <w:textDirection w:val="btLr"/>
          </w:tcPr>
          <w:p w14:paraId="42E15471"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2.1. Sodinti skirtų augalų auginimas</w:t>
            </w:r>
          </w:p>
        </w:tc>
        <w:tc>
          <w:tcPr>
            <w:tcW w:w="640" w:type="dxa"/>
            <w:gridSpan w:val="2"/>
            <w:vMerge w:val="restart"/>
            <w:shd w:val="clear" w:color="auto" w:fill="auto"/>
            <w:textDirection w:val="btLr"/>
          </w:tcPr>
          <w:p w14:paraId="59713D9A"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2.2. Sėklinių bulvių auginimas</w:t>
            </w:r>
          </w:p>
        </w:tc>
        <w:tc>
          <w:tcPr>
            <w:tcW w:w="564" w:type="dxa"/>
            <w:vMerge w:val="restart"/>
            <w:shd w:val="clear" w:color="auto" w:fill="auto"/>
            <w:textDirection w:val="btLr"/>
          </w:tcPr>
          <w:p w14:paraId="685532E1"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2.3. Maistinių bulvių auginimas</w:t>
            </w:r>
          </w:p>
        </w:tc>
        <w:tc>
          <w:tcPr>
            <w:tcW w:w="782" w:type="dxa"/>
            <w:vMerge w:val="restart"/>
            <w:shd w:val="clear" w:color="auto" w:fill="auto"/>
            <w:textDirection w:val="btLr"/>
          </w:tcPr>
          <w:p w14:paraId="278DDE32"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2.4. Kitų augalų, nei nurodyta šio priedo 2.1 – 2.3 papunkčiuose, auginimas</w:t>
            </w:r>
          </w:p>
        </w:tc>
        <w:tc>
          <w:tcPr>
            <w:tcW w:w="845" w:type="dxa"/>
            <w:vMerge w:val="restart"/>
            <w:shd w:val="clear" w:color="auto" w:fill="auto"/>
            <w:textDirection w:val="btLr"/>
          </w:tcPr>
          <w:p w14:paraId="0891F2B1"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2.5. Medinės pakavimo medžiagos gaminimas, apdorojimas ir (ar) remontas</w:t>
            </w:r>
          </w:p>
        </w:tc>
        <w:tc>
          <w:tcPr>
            <w:tcW w:w="997" w:type="dxa"/>
            <w:gridSpan w:val="2"/>
            <w:vMerge w:val="restart"/>
            <w:shd w:val="clear" w:color="auto" w:fill="auto"/>
            <w:textDirection w:val="btLr"/>
          </w:tcPr>
          <w:p w14:paraId="62183190"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2.6. Kenksmingųjų organizmų, augalų ir augalinių produktų įvežimas, vežimas ir (ar) laikymas mokslo tikslais</w:t>
            </w:r>
          </w:p>
        </w:tc>
        <w:tc>
          <w:tcPr>
            <w:tcW w:w="1005" w:type="dxa"/>
            <w:vMerge w:val="restart"/>
            <w:shd w:val="clear" w:color="auto" w:fill="auto"/>
            <w:textDirection w:val="btLr"/>
          </w:tcPr>
          <w:p w14:paraId="5532432B"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2.7. Augalų, augalinių produktų ir kitų  objektų įvežimas iš kitų valstybių</w:t>
            </w:r>
            <w:r w:rsidRPr="00AA6080">
              <w:rPr>
                <w:b/>
                <w:lang w:eastAsia="en-US"/>
              </w:rPr>
              <w:t xml:space="preserve"> </w:t>
            </w:r>
          </w:p>
        </w:tc>
        <w:tc>
          <w:tcPr>
            <w:tcW w:w="1037" w:type="dxa"/>
            <w:vMerge w:val="restart"/>
            <w:shd w:val="clear" w:color="auto" w:fill="auto"/>
            <w:textDirection w:val="btLr"/>
          </w:tcPr>
          <w:p w14:paraId="0447AB02" w14:textId="77777777" w:rsidR="00AA6080" w:rsidRPr="00AA6080" w:rsidRDefault="00AA6080" w:rsidP="00AA6080">
            <w:pPr>
              <w:overflowPunct w:val="0"/>
              <w:autoSpaceDE w:val="0"/>
              <w:autoSpaceDN w:val="0"/>
              <w:adjustRightInd w:val="0"/>
              <w:textAlignment w:val="baseline"/>
              <w:rPr>
                <w:b/>
                <w:lang w:eastAsia="en-US"/>
              </w:rPr>
            </w:pPr>
            <w:r w:rsidRPr="00AA6080">
              <w:rPr>
                <w:lang w:eastAsia="en-US"/>
              </w:rPr>
              <w:t>2.8. Patvirtintų patikrinimo vietų ir (ar) prekių saugojimo ir muitinio tikrinimo vietų administravimas</w:t>
            </w:r>
          </w:p>
          <w:p w14:paraId="4C780BCC" w14:textId="77777777" w:rsidR="00AA6080" w:rsidRPr="00AA6080" w:rsidRDefault="00AA6080" w:rsidP="00AA6080">
            <w:pPr>
              <w:overflowPunct w:val="0"/>
              <w:autoSpaceDE w:val="0"/>
              <w:autoSpaceDN w:val="0"/>
              <w:adjustRightInd w:val="0"/>
              <w:textAlignment w:val="baseline"/>
              <w:rPr>
                <w:lang w:eastAsia="en-US"/>
              </w:rPr>
            </w:pPr>
          </w:p>
          <w:p w14:paraId="3469610F" w14:textId="77777777" w:rsidR="00AA6080" w:rsidRPr="00AA6080" w:rsidRDefault="00AA6080" w:rsidP="00AA6080">
            <w:pPr>
              <w:overflowPunct w:val="0"/>
              <w:autoSpaceDE w:val="0"/>
              <w:autoSpaceDN w:val="0"/>
              <w:adjustRightInd w:val="0"/>
              <w:textAlignment w:val="baseline"/>
              <w:rPr>
                <w:lang w:eastAsia="en-US"/>
              </w:rPr>
            </w:pPr>
          </w:p>
        </w:tc>
        <w:tc>
          <w:tcPr>
            <w:tcW w:w="1048" w:type="dxa"/>
            <w:vMerge w:val="restart"/>
            <w:shd w:val="clear" w:color="auto" w:fill="auto"/>
            <w:textDirection w:val="btLr"/>
          </w:tcPr>
          <w:p w14:paraId="49BD4F05"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2.9. Augalų ir (ar) augalinių produktų supirkimas Lietuvos Respublikoje</w:t>
            </w:r>
          </w:p>
          <w:p w14:paraId="7E8D5319" w14:textId="77777777" w:rsidR="00AA6080" w:rsidRPr="00AA6080" w:rsidRDefault="00AA6080" w:rsidP="00AA6080">
            <w:pPr>
              <w:overflowPunct w:val="0"/>
              <w:autoSpaceDE w:val="0"/>
              <w:autoSpaceDN w:val="0"/>
              <w:adjustRightInd w:val="0"/>
              <w:textAlignment w:val="baseline"/>
              <w:rPr>
                <w:lang w:eastAsia="en-US"/>
              </w:rPr>
            </w:pPr>
          </w:p>
        </w:tc>
      </w:tr>
      <w:tr w:rsidR="00AA6080" w:rsidRPr="00AA6080" w14:paraId="0502CDDD" w14:textId="77777777" w:rsidTr="0068094F">
        <w:trPr>
          <w:trHeight w:val="3354"/>
        </w:trPr>
        <w:tc>
          <w:tcPr>
            <w:tcW w:w="671" w:type="dxa"/>
            <w:vMerge/>
            <w:shd w:val="clear" w:color="auto" w:fill="auto"/>
          </w:tcPr>
          <w:p w14:paraId="095D5761" w14:textId="77777777" w:rsidR="00AA6080" w:rsidRPr="00AA6080" w:rsidRDefault="00AA6080" w:rsidP="00AA6080">
            <w:pPr>
              <w:overflowPunct w:val="0"/>
              <w:autoSpaceDE w:val="0"/>
              <w:autoSpaceDN w:val="0"/>
              <w:adjustRightInd w:val="0"/>
              <w:textAlignment w:val="baseline"/>
              <w:rPr>
                <w:b/>
                <w:bCs/>
                <w:vertAlign w:val="superscript"/>
                <w:lang w:eastAsia="en-US"/>
              </w:rPr>
            </w:pPr>
          </w:p>
        </w:tc>
        <w:tc>
          <w:tcPr>
            <w:tcW w:w="1690" w:type="dxa"/>
            <w:gridSpan w:val="2"/>
            <w:shd w:val="clear" w:color="auto" w:fill="auto"/>
          </w:tcPr>
          <w:p w14:paraId="5CEDEC51" w14:textId="77777777" w:rsidR="00AA6080" w:rsidRPr="00AA6080" w:rsidRDefault="00AA6080" w:rsidP="00AA6080">
            <w:pPr>
              <w:overflowPunct w:val="0"/>
              <w:autoSpaceDE w:val="0"/>
              <w:autoSpaceDN w:val="0"/>
              <w:adjustRightInd w:val="0"/>
              <w:jc w:val="center"/>
              <w:textAlignment w:val="baseline"/>
              <w:rPr>
                <w:b/>
                <w:bCs/>
                <w:lang w:eastAsia="en-US"/>
              </w:rPr>
            </w:pPr>
            <w:r w:rsidRPr="00AA6080">
              <w:rPr>
                <w:b/>
                <w:bCs/>
                <w:lang w:eastAsia="en-US"/>
              </w:rPr>
              <w:t>Vardas, pavardė / pavadinimas</w:t>
            </w:r>
          </w:p>
        </w:tc>
        <w:tc>
          <w:tcPr>
            <w:tcW w:w="847" w:type="dxa"/>
            <w:shd w:val="clear" w:color="auto" w:fill="auto"/>
          </w:tcPr>
          <w:p w14:paraId="2E8FD597" w14:textId="77777777" w:rsidR="00AA6080" w:rsidRPr="00AA6080" w:rsidRDefault="00AA6080" w:rsidP="00AA6080">
            <w:pPr>
              <w:overflowPunct w:val="0"/>
              <w:autoSpaceDE w:val="0"/>
              <w:autoSpaceDN w:val="0"/>
              <w:adjustRightInd w:val="0"/>
              <w:jc w:val="center"/>
              <w:textAlignment w:val="baseline"/>
              <w:rPr>
                <w:b/>
                <w:bCs/>
                <w:lang w:eastAsia="en-US"/>
              </w:rPr>
            </w:pPr>
            <w:proofErr w:type="spellStart"/>
            <w:r w:rsidRPr="00AA6080">
              <w:rPr>
                <w:b/>
                <w:bCs/>
                <w:lang w:eastAsia="en-US"/>
              </w:rPr>
              <w:t>Adre-sas</w:t>
            </w:r>
            <w:proofErr w:type="spellEnd"/>
          </w:p>
        </w:tc>
        <w:tc>
          <w:tcPr>
            <w:tcW w:w="913" w:type="dxa"/>
            <w:gridSpan w:val="2"/>
            <w:vMerge/>
            <w:shd w:val="clear" w:color="auto" w:fill="auto"/>
          </w:tcPr>
          <w:p w14:paraId="5F01C67D" w14:textId="77777777" w:rsidR="00AA6080" w:rsidRPr="00AA6080" w:rsidRDefault="00AA6080" w:rsidP="00AA6080">
            <w:pPr>
              <w:overflowPunct w:val="0"/>
              <w:autoSpaceDE w:val="0"/>
              <w:autoSpaceDN w:val="0"/>
              <w:adjustRightInd w:val="0"/>
              <w:textAlignment w:val="baseline"/>
              <w:rPr>
                <w:lang w:eastAsia="en-US"/>
              </w:rPr>
            </w:pPr>
          </w:p>
        </w:tc>
        <w:tc>
          <w:tcPr>
            <w:tcW w:w="1343" w:type="dxa"/>
            <w:gridSpan w:val="2"/>
            <w:vMerge/>
            <w:shd w:val="clear" w:color="auto" w:fill="auto"/>
          </w:tcPr>
          <w:p w14:paraId="622891EF" w14:textId="77777777" w:rsidR="00AA6080" w:rsidRPr="00AA6080" w:rsidRDefault="00AA6080" w:rsidP="00AA6080">
            <w:pPr>
              <w:overflowPunct w:val="0"/>
              <w:autoSpaceDE w:val="0"/>
              <w:autoSpaceDN w:val="0"/>
              <w:adjustRightInd w:val="0"/>
              <w:textAlignment w:val="baseline"/>
              <w:rPr>
                <w:lang w:eastAsia="en-US"/>
              </w:rPr>
            </w:pPr>
          </w:p>
        </w:tc>
        <w:tc>
          <w:tcPr>
            <w:tcW w:w="875" w:type="dxa"/>
            <w:gridSpan w:val="2"/>
            <w:vMerge/>
            <w:shd w:val="clear" w:color="auto" w:fill="auto"/>
          </w:tcPr>
          <w:p w14:paraId="49736693" w14:textId="77777777" w:rsidR="00AA6080" w:rsidRPr="00AA6080" w:rsidRDefault="00AA6080" w:rsidP="00AA6080">
            <w:pPr>
              <w:overflowPunct w:val="0"/>
              <w:autoSpaceDE w:val="0"/>
              <w:autoSpaceDN w:val="0"/>
              <w:adjustRightInd w:val="0"/>
              <w:textAlignment w:val="baseline"/>
              <w:rPr>
                <w:lang w:eastAsia="en-US"/>
              </w:rPr>
            </w:pPr>
          </w:p>
        </w:tc>
        <w:tc>
          <w:tcPr>
            <w:tcW w:w="460" w:type="dxa"/>
            <w:vMerge/>
            <w:shd w:val="clear" w:color="auto" w:fill="auto"/>
          </w:tcPr>
          <w:p w14:paraId="6B32ECB1" w14:textId="77777777" w:rsidR="00AA6080" w:rsidRPr="00AA6080" w:rsidRDefault="00AA6080" w:rsidP="00AA6080">
            <w:pPr>
              <w:overflowPunct w:val="0"/>
              <w:autoSpaceDE w:val="0"/>
              <w:autoSpaceDN w:val="0"/>
              <w:adjustRightInd w:val="0"/>
              <w:textAlignment w:val="baseline"/>
              <w:rPr>
                <w:lang w:eastAsia="en-US"/>
              </w:rPr>
            </w:pPr>
          </w:p>
        </w:tc>
        <w:tc>
          <w:tcPr>
            <w:tcW w:w="640" w:type="dxa"/>
            <w:gridSpan w:val="2"/>
            <w:vMerge/>
            <w:shd w:val="clear" w:color="auto" w:fill="auto"/>
          </w:tcPr>
          <w:p w14:paraId="1BAF3398" w14:textId="77777777" w:rsidR="00AA6080" w:rsidRPr="00AA6080" w:rsidRDefault="00AA6080" w:rsidP="00AA6080">
            <w:pPr>
              <w:overflowPunct w:val="0"/>
              <w:autoSpaceDE w:val="0"/>
              <w:autoSpaceDN w:val="0"/>
              <w:adjustRightInd w:val="0"/>
              <w:textAlignment w:val="baseline"/>
              <w:rPr>
                <w:lang w:eastAsia="en-US"/>
              </w:rPr>
            </w:pPr>
          </w:p>
        </w:tc>
        <w:tc>
          <w:tcPr>
            <w:tcW w:w="564" w:type="dxa"/>
            <w:vMerge/>
            <w:shd w:val="clear" w:color="auto" w:fill="auto"/>
          </w:tcPr>
          <w:p w14:paraId="2B5B1A46" w14:textId="77777777" w:rsidR="00AA6080" w:rsidRPr="00AA6080" w:rsidRDefault="00AA6080" w:rsidP="00AA6080">
            <w:pPr>
              <w:overflowPunct w:val="0"/>
              <w:autoSpaceDE w:val="0"/>
              <w:autoSpaceDN w:val="0"/>
              <w:adjustRightInd w:val="0"/>
              <w:textAlignment w:val="baseline"/>
              <w:rPr>
                <w:lang w:eastAsia="en-US"/>
              </w:rPr>
            </w:pPr>
          </w:p>
        </w:tc>
        <w:tc>
          <w:tcPr>
            <w:tcW w:w="782" w:type="dxa"/>
            <w:vMerge/>
            <w:shd w:val="clear" w:color="auto" w:fill="auto"/>
          </w:tcPr>
          <w:p w14:paraId="610BB0EA" w14:textId="77777777" w:rsidR="00AA6080" w:rsidRPr="00AA6080" w:rsidRDefault="00AA6080" w:rsidP="00AA6080">
            <w:pPr>
              <w:overflowPunct w:val="0"/>
              <w:autoSpaceDE w:val="0"/>
              <w:autoSpaceDN w:val="0"/>
              <w:adjustRightInd w:val="0"/>
              <w:textAlignment w:val="baseline"/>
              <w:rPr>
                <w:lang w:eastAsia="en-US"/>
              </w:rPr>
            </w:pPr>
          </w:p>
        </w:tc>
        <w:tc>
          <w:tcPr>
            <w:tcW w:w="845" w:type="dxa"/>
            <w:vMerge/>
            <w:shd w:val="clear" w:color="auto" w:fill="auto"/>
          </w:tcPr>
          <w:p w14:paraId="188EF7C6" w14:textId="77777777" w:rsidR="00AA6080" w:rsidRPr="00AA6080" w:rsidRDefault="00AA6080" w:rsidP="00AA6080">
            <w:pPr>
              <w:overflowPunct w:val="0"/>
              <w:autoSpaceDE w:val="0"/>
              <w:autoSpaceDN w:val="0"/>
              <w:adjustRightInd w:val="0"/>
              <w:textAlignment w:val="baseline"/>
              <w:rPr>
                <w:lang w:eastAsia="en-US"/>
              </w:rPr>
            </w:pPr>
          </w:p>
        </w:tc>
        <w:tc>
          <w:tcPr>
            <w:tcW w:w="997" w:type="dxa"/>
            <w:gridSpan w:val="2"/>
            <w:vMerge/>
            <w:shd w:val="clear" w:color="auto" w:fill="auto"/>
          </w:tcPr>
          <w:p w14:paraId="3FC41696" w14:textId="77777777" w:rsidR="00AA6080" w:rsidRPr="00AA6080" w:rsidRDefault="00AA6080" w:rsidP="00AA6080">
            <w:pPr>
              <w:overflowPunct w:val="0"/>
              <w:autoSpaceDE w:val="0"/>
              <w:autoSpaceDN w:val="0"/>
              <w:adjustRightInd w:val="0"/>
              <w:textAlignment w:val="baseline"/>
              <w:rPr>
                <w:lang w:eastAsia="en-US"/>
              </w:rPr>
            </w:pPr>
          </w:p>
        </w:tc>
        <w:tc>
          <w:tcPr>
            <w:tcW w:w="1005" w:type="dxa"/>
            <w:vMerge/>
            <w:shd w:val="clear" w:color="auto" w:fill="auto"/>
          </w:tcPr>
          <w:p w14:paraId="60A3400C" w14:textId="77777777" w:rsidR="00AA6080" w:rsidRPr="00AA6080" w:rsidRDefault="00AA6080" w:rsidP="00AA6080">
            <w:pPr>
              <w:overflowPunct w:val="0"/>
              <w:autoSpaceDE w:val="0"/>
              <w:autoSpaceDN w:val="0"/>
              <w:adjustRightInd w:val="0"/>
              <w:textAlignment w:val="baseline"/>
              <w:rPr>
                <w:lang w:eastAsia="en-US"/>
              </w:rPr>
            </w:pPr>
          </w:p>
        </w:tc>
        <w:tc>
          <w:tcPr>
            <w:tcW w:w="1037" w:type="dxa"/>
            <w:vMerge/>
            <w:shd w:val="clear" w:color="auto" w:fill="auto"/>
          </w:tcPr>
          <w:p w14:paraId="71DCF81B" w14:textId="77777777" w:rsidR="00AA6080" w:rsidRPr="00AA6080" w:rsidRDefault="00AA6080" w:rsidP="00AA6080">
            <w:pPr>
              <w:overflowPunct w:val="0"/>
              <w:autoSpaceDE w:val="0"/>
              <w:autoSpaceDN w:val="0"/>
              <w:adjustRightInd w:val="0"/>
              <w:textAlignment w:val="baseline"/>
              <w:rPr>
                <w:lang w:eastAsia="en-US"/>
              </w:rPr>
            </w:pPr>
          </w:p>
        </w:tc>
        <w:tc>
          <w:tcPr>
            <w:tcW w:w="1048" w:type="dxa"/>
            <w:vMerge/>
            <w:shd w:val="clear" w:color="auto" w:fill="auto"/>
          </w:tcPr>
          <w:p w14:paraId="4527054A" w14:textId="77777777" w:rsidR="00AA6080" w:rsidRPr="00AA6080" w:rsidRDefault="00AA6080" w:rsidP="00AA6080">
            <w:pPr>
              <w:overflowPunct w:val="0"/>
              <w:autoSpaceDE w:val="0"/>
              <w:autoSpaceDN w:val="0"/>
              <w:adjustRightInd w:val="0"/>
              <w:textAlignment w:val="baseline"/>
              <w:rPr>
                <w:lang w:eastAsia="en-US"/>
              </w:rPr>
            </w:pPr>
          </w:p>
        </w:tc>
      </w:tr>
      <w:tr w:rsidR="00AA6080" w:rsidRPr="00AA6080" w14:paraId="2520B49C" w14:textId="77777777" w:rsidTr="0068094F">
        <w:trPr>
          <w:trHeight w:val="272"/>
        </w:trPr>
        <w:tc>
          <w:tcPr>
            <w:tcW w:w="671" w:type="dxa"/>
            <w:shd w:val="clear" w:color="auto" w:fill="auto"/>
          </w:tcPr>
          <w:p w14:paraId="57A052ED"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1</w:t>
            </w:r>
          </w:p>
        </w:tc>
        <w:tc>
          <w:tcPr>
            <w:tcW w:w="1690" w:type="dxa"/>
            <w:gridSpan w:val="2"/>
            <w:shd w:val="clear" w:color="auto" w:fill="auto"/>
          </w:tcPr>
          <w:p w14:paraId="3C9A3E6A"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2</w:t>
            </w:r>
          </w:p>
        </w:tc>
        <w:tc>
          <w:tcPr>
            <w:tcW w:w="847" w:type="dxa"/>
            <w:shd w:val="clear" w:color="auto" w:fill="auto"/>
          </w:tcPr>
          <w:p w14:paraId="04594D11"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3</w:t>
            </w:r>
          </w:p>
        </w:tc>
        <w:tc>
          <w:tcPr>
            <w:tcW w:w="913" w:type="dxa"/>
            <w:gridSpan w:val="2"/>
            <w:shd w:val="clear" w:color="auto" w:fill="auto"/>
          </w:tcPr>
          <w:p w14:paraId="70EE2F82"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4</w:t>
            </w:r>
          </w:p>
        </w:tc>
        <w:tc>
          <w:tcPr>
            <w:tcW w:w="1343" w:type="dxa"/>
            <w:gridSpan w:val="2"/>
            <w:shd w:val="clear" w:color="auto" w:fill="auto"/>
          </w:tcPr>
          <w:p w14:paraId="7CA1801D"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5</w:t>
            </w:r>
          </w:p>
        </w:tc>
        <w:tc>
          <w:tcPr>
            <w:tcW w:w="875" w:type="dxa"/>
            <w:gridSpan w:val="2"/>
            <w:shd w:val="clear" w:color="auto" w:fill="auto"/>
          </w:tcPr>
          <w:p w14:paraId="5ABCDC55"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6</w:t>
            </w:r>
          </w:p>
        </w:tc>
        <w:tc>
          <w:tcPr>
            <w:tcW w:w="460" w:type="dxa"/>
            <w:shd w:val="clear" w:color="auto" w:fill="auto"/>
          </w:tcPr>
          <w:p w14:paraId="1A5D9634"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7</w:t>
            </w:r>
          </w:p>
        </w:tc>
        <w:tc>
          <w:tcPr>
            <w:tcW w:w="640" w:type="dxa"/>
            <w:gridSpan w:val="2"/>
            <w:shd w:val="clear" w:color="auto" w:fill="auto"/>
          </w:tcPr>
          <w:p w14:paraId="1357FCE5"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8</w:t>
            </w:r>
          </w:p>
        </w:tc>
        <w:tc>
          <w:tcPr>
            <w:tcW w:w="564" w:type="dxa"/>
            <w:shd w:val="clear" w:color="auto" w:fill="auto"/>
          </w:tcPr>
          <w:p w14:paraId="318D92EB"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9</w:t>
            </w:r>
          </w:p>
        </w:tc>
        <w:tc>
          <w:tcPr>
            <w:tcW w:w="782" w:type="dxa"/>
            <w:shd w:val="clear" w:color="auto" w:fill="auto"/>
          </w:tcPr>
          <w:p w14:paraId="1F49FDEA"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10</w:t>
            </w:r>
          </w:p>
        </w:tc>
        <w:tc>
          <w:tcPr>
            <w:tcW w:w="845" w:type="dxa"/>
            <w:shd w:val="clear" w:color="auto" w:fill="auto"/>
          </w:tcPr>
          <w:p w14:paraId="749ECADA"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11</w:t>
            </w:r>
          </w:p>
        </w:tc>
        <w:tc>
          <w:tcPr>
            <w:tcW w:w="818" w:type="dxa"/>
            <w:shd w:val="clear" w:color="auto" w:fill="auto"/>
          </w:tcPr>
          <w:p w14:paraId="0AD90D07"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12</w:t>
            </w:r>
          </w:p>
        </w:tc>
        <w:tc>
          <w:tcPr>
            <w:tcW w:w="1184" w:type="dxa"/>
            <w:gridSpan w:val="2"/>
            <w:shd w:val="clear" w:color="auto" w:fill="auto"/>
          </w:tcPr>
          <w:p w14:paraId="43D57486"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13</w:t>
            </w:r>
          </w:p>
        </w:tc>
        <w:tc>
          <w:tcPr>
            <w:tcW w:w="1037" w:type="dxa"/>
            <w:shd w:val="clear" w:color="auto" w:fill="auto"/>
          </w:tcPr>
          <w:p w14:paraId="6EE40E3F"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14</w:t>
            </w:r>
          </w:p>
        </w:tc>
        <w:tc>
          <w:tcPr>
            <w:tcW w:w="1048" w:type="dxa"/>
            <w:shd w:val="clear" w:color="auto" w:fill="auto"/>
          </w:tcPr>
          <w:p w14:paraId="3E03715C" w14:textId="77777777" w:rsidR="00AA6080" w:rsidRPr="00AA6080" w:rsidRDefault="00AA6080" w:rsidP="00AA6080">
            <w:pPr>
              <w:overflowPunct w:val="0"/>
              <w:autoSpaceDE w:val="0"/>
              <w:autoSpaceDN w:val="0"/>
              <w:adjustRightInd w:val="0"/>
              <w:jc w:val="center"/>
              <w:textAlignment w:val="baseline"/>
              <w:rPr>
                <w:sz w:val="20"/>
                <w:szCs w:val="20"/>
                <w:vertAlign w:val="superscript"/>
                <w:lang w:eastAsia="en-US"/>
              </w:rPr>
            </w:pPr>
            <w:r w:rsidRPr="00AA6080">
              <w:rPr>
                <w:sz w:val="20"/>
                <w:szCs w:val="20"/>
                <w:vertAlign w:val="superscript"/>
                <w:lang w:eastAsia="en-US"/>
              </w:rPr>
              <w:t>15</w:t>
            </w:r>
          </w:p>
        </w:tc>
      </w:tr>
      <w:tr w:rsidR="00AA6080" w:rsidRPr="00AA6080" w14:paraId="5F12A38D" w14:textId="77777777" w:rsidTr="0068094F">
        <w:trPr>
          <w:trHeight w:val="272"/>
        </w:trPr>
        <w:tc>
          <w:tcPr>
            <w:tcW w:w="671" w:type="dxa"/>
            <w:shd w:val="clear" w:color="auto" w:fill="auto"/>
          </w:tcPr>
          <w:p w14:paraId="72BD8482"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1690" w:type="dxa"/>
            <w:gridSpan w:val="2"/>
            <w:shd w:val="clear" w:color="auto" w:fill="auto"/>
          </w:tcPr>
          <w:p w14:paraId="6B916623"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847" w:type="dxa"/>
            <w:shd w:val="clear" w:color="auto" w:fill="auto"/>
          </w:tcPr>
          <w:p w14:paraId="440830BF"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913" w:type="dxa"/>
            <w:gridSpan w:val="2"/>
            <w:shd w:val="clear" w:color="auto" w:fill="auto"/>
          </w:tcPr>
          <w:p w14:paraId="0942D5C0"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1343" w:type="dxa"/>
            <w:gridSpan w:val="2"/>
            <w:shd w:val="clear" w:color="auto" w:fill="auto"/>
          </w:tcPr>
          <w:p w14:paraId="640EC95D"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875" w:type="dxa"/>
            <w:gridSpan w:val="2"/>
            <w:shd w:val="clear" w:color="auto" w:fill="auto"/>
          </w:tcPr>
          <w:p w14:paraId="264FF1D8"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460" w:type="dxa"/>
            <w:shd w:val="clear" w:color="auto" w:fill="auto"/>
          </w:tcPr>
          <w:p w14:paraId="63FDA503"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640" w:type="dxa"/>
            <w:gridSpan w:val="2"/>
            <w:shd w:val="clear" w:color="auto" w:fill="auto"/>
          </w:tcPr>
          <w:p w14:paraId="14B0511D"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564" w:type="dxa"/>
            <w:shd w:val="clear" w:color="auto" w:fill="auto"/>
          </w:tcPr>
          <w:p w14:paraId="4B248406"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782" w:type="dxa"/>
            <w:shd w:val="clear" w:color="auto" w:fill="auto"/>
          </w:tcPr>
          <w:p w14:paraId="52E9C6C0"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845" w:type="dxa"/>
            <w:shd w:val="clear" w:color="auto" w:fill="auto"/>
          </w:tcPr>
          <w:p w14:paraId="6D7A9528"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818" w:type="dxa"/>
            <w:shd w:val="clear" w:color="auto" w:fill="auto"/>
          </w:tcPr>
          <w:p w14:paraId="12B8FE78"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1184" w:type="dxa"/>
            <w:gridSpan w:val="2"/>
            <w:shd w:val="clear" w:color="auto" w:fill="auto"/>
          </w:tcPr>
          <w:p w14:paraId="5E06FA76"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1037" w:type="dxa"/>
            <w:shd w:val="clear" w:color="auto" w:fill="auto"/>
          </w:tcPr>
          <w:p w14:paraId="4CC37BE6" w14:textId="77777777" w:rsidR="00AA6080" w:rsidRPr="00AA6080" w:rsidRDefault="00AA6080" w:rsidP="00AA6080">
            <w:pPr>
              <w:overflowPunct w:val="0"/>
              <w:autoSpaceDE w:val="0"/>
              <w:autoSpaceDN w:val="0"/>
              <w:adjustRightInd w:val="0"/>
              <w:textAlignment w:val="baseline"/>
              <w:rPr>
                <w:vertAlign w:val="superscript"/>
                <w:lang w:eastAsia="en-US"/>
              </w:rPr>
            </w:pPr>
          </w:p>
        </w:tc>
        <w:tc>
          <w:tcPr>
            <w:tcW w:w="1048" w:type="dxa"/>
            <w:shd w:val="clear" w:color="auto" w:fill="auto"/>
          </w:tcPr>
          <w:p w14:paraId="02750A23" w14:textId="77777777" w:rsidR="00AA6080" w:rsidRPr="00AA6080" w:rsidRDefault="00AA6080" w:rsidP="00AA6080">
            <w:pPr>
              <w:overflowPunct w:val="0"/>
              <w:autoSpaceDE w:val="0"/>
              <w:autoSpaceDN w:val="0"/>
              <w:adjustRightInd w:val="0"/>
              <w:textAlignment w:val="baseline"/>
              <w:rPr>
                <w:vertAlign w:val="superscript"/>
                <w:lang w:eastAsia="en-US"/>
              </w:rPr>
            </w:pPr>
          </w:p>
        </w:tc>
      </w:tr>
      <w:tr w:rsidR="00AA6080" w:rsidRPr="00AA6080" w14:paraId="468AF6F1" w14:textId="77777777" w:rsidTr="0068094F">
        <w:trPr>
          <w:cantSplit/>
          <w:trHeight w:val="3832"/>
        </w:trPr>
        <w:tc>
          <w:tcPr>
            <w:tcW w:w="671" w:type="dxa"/>
            <w:shd w:val="clear" w:color="auto" w:fill="auto"/>
            <w:textDirection w:val="btLr"/>
          </w:tcPr>
          <w:p w14:paraId="691932F6"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 xml:space="preserve">  3.1. Prižiūrimi augalai, auga atvirame grunte </w:t>
            </w:r>
          </w:p>
          <w:p w14:paraId="06C4F6F0" w14:textId="77777777" w:rsidR="00AA6080" w:rsidRPr="00AA6080" w:rsidRDefault="00AA6080" w:rsidP="00AA6080">
            <w:pPr>
              <w:overflowPunct w:val="0"/>
              <w:autoSpaceDE w:val="0"/>
              <w:autoSpaceDN w:val="0"/>
              <w:adjustRightInd w:val="0"/>
              <w:textAlignment w:val="baseline"/>
              <w:rPr>
                <w:lang w:eastAsia="en-US"/>
              </w:rPr>
            </w:pPr>
          </w:p>
        </w:tc>
        <w:tc>
          <w:tcPr>
            <w:tcW w:w="688" w:type="dxa"/>
            <w:shd w:val="clear" w:color="auto" w:fill="auto"/>
            <w:textDirection w:val="btLr"/>
          </w:tcPr>
          <w:p w14:paraId="4D421A6C"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3.2. Prižiūrimi augalai, auga uždarame grunte</w:t>
            </w:r>
          </w:p>
        </w:tc>
        <w:tc>
          <w:tcPr>
            <w:tcW w:w="1002" w:type="dxa"/>
            <w:shd w:val="clear" w:color="auto" w:fill="auto"/>
            <w:textDirection w:val="btLr"/>
          </w:tcPr>
          <w:p w14:paraId="7BFC74C7"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4. Rinkai tiekiamų augalų, augalinių produktų kiekis (vnt., kg, m</w:t>
            </w:r>
            <w:r w:rsidRPr="00AA6080">
              <w:rPr>
                <w:vertAlign w:val="superscript"/>
                <w:lang w:eastAsia="en-US"/>
              </w:rPr>
              <w:t>3</w:t>
            </w:r>
            <w:r w:rsidRPr="00AA6080">
              <w:rPr>
                <w:lang w:eastAsia="en-US"/>
              </w:rPr>
              <w:t>) per kalendorinius metus</w:t>
            </w:r>
          </w:p>
        </w:tc>
        <w:tc>
          <w:tcPr>
            <w:tcW w:w="1042" w:type="dxa"/>
            <w:gridSpan w:val="2"/>
            <w:shd w:val="clear" w:color="auto" w:fill="auto"/>
            <w:textDirection w:val="btLr"/>
          </w:tcPr>
          <w:p w14:paraId="1F18E471"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5.1. Vieša prekybos prižiūrimais augalais ir (ar) augaliniais produktais vieta (turgavietė, mugė ir kt.)</w:t>
            </w:r>
          </w:p>
        </w:tc>
        <w:tc>
          <w:tcPr>
            <w:tcW w:w="718" w:type="dxa"/>
            <w:shd w:val="clear" w:color="auto" w:fill="auto"/>
            <w:textDirection w:val="btLr"/>
          </w:tcPr>
          <w:p w14:paraId="19007721"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5.2. Sodininkų bendrijos teritorija</w:t>
            </w:r>
          </w:p>
        </w:tc>
        <w:tc>
          <w:tcPr>
            <w:tcW w:w="1076" w:type="dxa"/>
            <w:shd w:val="clear" w:color="auto" w:fill="auto"/>
            <w:textDirection w:val="btLr"/>
          </w:tcPr>
          <w:p w14:paraId="41E6E9AE"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5.3. Logistikos centras, prižiūrintis krovinius, atvežamus su medine pakavimo medžiaga iš rizikos šalių</w:t>
            </w:r>
          </w:p>
        </w:tc>
        <w:tc>
          <w:tcPr>
            <w:tcW w:w="897" w:type="dxa"/>
            <w:gridSpan w:val="2"/>
            <w:shd w:val="clear" w:color="auto" w:fill="auto"/>
            <w:textDirection w:val="btLr"/>
          </w:tcPr>
          <w:p w14:paraId="529F96FF" w14:textId="77777777" w:rsidR="00AA6080" w:rsidRPr="00AA6080" w:rsidRDefault="00AA6080" w:rsidP="00AA6080">
            <w:pPr>
              <w:overflowPunct w:val="0"/>
              <w:autoSpaceDE w:val="0"/>
              <w:autoSpaceDN w:val="0"/>
              <w:adjustRightInd w:val="0"/>
              <w:textAlignment w:val="baseline"/>
              <w:rPr>
                <w:lang w:eastAsia="en-US"/>
              </w:rPr>
            </w:pPr>
            <w:r w:rsidRPr="00AA6080">
              <w:rPr>
                <w:lang w:eastAsia="en-US"/>
              </w:rPr>
              <w:t>5.4. Viešai lankoma (rekreacinė) teritorija (parkas, ir kita vieta)</w:t>
            </w:r>
          </w:p>
        </w:tc>
        <w:tc>
          <w:tcPr>
            <w:tcW w:w="1256" w:type="dxa"/>
            <w:gridSpan w:val="3"/>
            <w:shd w:val="clear" w:color="auto" w:fill="auto"/>
          </w:tcPr>
          <w:p w14:paraId="4F7085DC" w14:textId="77777777" w:rsidR="00AA6080" w:rsidRPr="00AA6080" w:rsidRDefault="00AA6080" w:rsidP="00AA6080">
            <w:pPr>
              <w:overflowPunct w:val="0"/>
              <w:autoSpaceDE w:val="0"/>
              <w:autoSpaceDN w:val="0"/>
              <w:adjustRightInd w:val="0"/>
              <w:jc w:val="center"/>
              <w:textAlignment w:val="baseline"/>
              <w:rPr>
                <w:b/>
                <w:bCs/>
                <w:lang w:eastAsia="en-US"/>
              </w:rPr>
            </w:pPr>
            <w:r w:rsidRPr="00AA6080">
              <w:rPr>
                <w:b/>
                <w:bCs/>
                <w:lang w:eastAsia="en-US"/>
              </w:rPr>
              <w:t>Bendra balų suma</w:t>
            </w:r>
          </w:p>
        </w:tc>
        <w:tc>
          <w:tcPr>
            <w:tcW w:w="1435" w:type="dxa"/>
            <w:gridSpan w:val="3"/>
            <w:shd w:val="clear" w:color="auto" w:fill="auto"/>
          </w:tcPr>
          <w:p w14:paraId="2ACC1EDE" w14:textId="77777777" w:rsidR="00AA6080" w:rsidRPr="00AA6080" w:rsidRDefault="00AA6080" w:rsidP="00AA6080">
            <w:pPr>
              <w:overflowPunct w:val="0"/>
              <w:autoSpaceDE w:val="0"/>
              <w:autoSpaceDN w:val="0"/>
              <w:adjustRightInd w:val="0"/>
              <w:jc w:val="center"/>
              <w:textAlignment w:val="baseline"/>
              <w:rPr>
                <w:b/>
                <w:bCs/>
                <w:lang w:eastAsia="en-US"/>
              </w:rPr>
            </w:pPr>
            <w:r w:rsidRPr="00AA6080">
              <w:rPr>
                <w:b/>
                <w:bCs/>
                <w:lang w:eastAsia="en-US"/>
              </w:rPr>
              <w:t>Rizikos grupė**</w:t>
            </w:r>
          </w:p>
        </w:tc>
        <w:tc>
          <w:tcPr>
            <w:tcW w:w="1663" w:type="dxa"/>
            <w:gridSpan w:val="2"/>
            <w:shd w:val="clear" w:color="auto" w:fill="auto"/>
          </w:tcPr>
          <w:p w14:paraId="73C8EB3C" w14:textId="77777777" w:rsidR="00AA6080" w:rsidRPr="00AA6080" w:rsidRDefault="00AA6080" w:rsidP="00AA6080">
            <w:pPr>
              <w:overflowPunct w:val="0"/>
              <w:autoSpaceDE w:val="0"/>
              <w:autoSpaceDN w:val="0"/>
              <w:adjustRightInd w:val="0"/>
              <w:jc w:val="center"/>
              <w:textAlignment w:val="baseline"/>
              <w:rPr>
                <w:b/>
                <w:lang w:eastAsia="en-US"/>
              </w:rPr>
            </w:pPr>
            <w:r w:rsidRPr="00AA6080">
              <w:rPr>
                <w:b/>
                <w:lang w:eastAsia="en-US"/>
              </w:rPr>
              <w:t>Vėliausia veiklos tikrinimo data</w:t>
            </w:r>
          </w:p>
        </w:tc>
        <w:tc>
          <w:tcPr>
            <w:tcW w:w="3269" w:type="dxa"/>
            <w:gridSpan w:val="4"/>
            <w:shd w:val="clear" w:color="auto" w:fill="auto"/>
          </w:tcPr>
          <w:p w14:paraId="7DF54CA9" w14:textId="77777777" w:rsidR="00AA6080" w:rsidRPr="00AA6080" w:rsidRDefault="00AA6080" w:rsidP="00AA6080">
            <w:pPr>
              <w:overflowPunct w:val="0"/>
              <w:autoSpaceDE w:val="0"/>
              <w:autoSpaceDN w:val="0"/>
              <w:adjustRightInd w:val="0"/>
              <w:jc w:val="center"/>
              <w:textAlignment w:val="baseline"/>
              <w:rPr>
                <w:b/>
                <w:bCs/>
                <w:lang w:eastAsia="en-US"/>
              </w:rPr>
            </w:pPr>
            <w:r w:rsidRPr="00AA6080">
              <w:rPr>
                <w:b/>
                <w:bCs/>
                <w:lang w:eastAsia="en-US"/>
              </w:rPr>
              <w:t>Pastabos</w:t>
            </w:r>
          </w:p>
        </w:tc>
      </w:tr>
      <w:tr w:rsidR="00AA6080" w:rsidRPr="00AA6080" w14:paraId="5B8499DB" w14:textId="77777777" w:rsidTr="0068094F">
        <w:trPr>
          <w:trHeight w:val="272"/>
        </w:trPr>
        <w:tc>
          <w:tcPr>
            <w:tcW w:w="671" w:type="dxa"/>
            <w:shd w:val="clear" w:color="auto" w:fill="auto"/>
          </w:tcPr>
          <w:p w14:paraId="5C3045A7" w14:textId="77777777" w:rsidR="00AA6080" w:rsidRPr="00AA6080" w:rsidRDefault="00AA6080" w:rsidP="00AA6080">
            <w:pPr>
              <w:overflowPunct w:val="0"/>
              <w:autoSpaceDE w:val="0"/>
              <w:autoSpaceDN w:val="0"/>
              <w:adjustRightInd w:val="0"/>
              <w:jc w:val="center"/>
              <w:textAlignment w:val="baseline"/>
              <w:rPr>
                <w:sz w:val="20"/>
                <w:szCs w:val="20"/>
                <w:lang w:eastAsia="en-US"/>
              </w:rPr>
            </w:pPr>
            <w:r w:rsidRPr="00AA6080">
              <w:rPr>
                <w:sz w:val="20"/>
                <w:szCs w:val="20"/>
                <w:lang w:eastAsia="en-US"/>
              </w:rPr>
              <w:t>16</w:t>
            </w:r>
          </w:p>
        </w:tc>
        <w:tc>
          <w:tcPr>
            <w:tcW w:w="688" w:type="dxa"/>
            <w:shd w:val="clear" w:color="auto" w:fill="auto"/>
          </w:tcPr>
          <w:p w14:paraId="42ED0A29" w14:textId="77777777" w:rsidR="00AA6080" w:rsidRPr="00AA6080" w:rsidRDefault="00AA6080" w:rsidP="00AA6080">
            <w:pPr>
              <w:overflowPunct w:val="0"/>
              <w:autoSpaceDE w:val="0"/>
              <w:autoSpaceDN w:val="0"/>
              <w:adjustRightInd w:val="0"/>
              <w:jc w:val="center"/>
              <w:textAlignment w:val="baseline"/>
              <w:rPr>
                <w:sz w:val="20"/>
                <w:szCs w:val="20"/>
                <w:lang w:eastAsia="en-US"/>
              </w:rPr>
            </w:pPr>
            <w:r w:rsidRPr="00AA6080">
              <w:rPr>
                <w:sz w:val="20"/>
                <w:szCs w:val="20"/>
                <w:lang w:eastAsia="en-US"/>
              </w:rPr>
              <w:t>17</w:t>
            </w:r>
          </w:p>
        </w:tc>
        <w:tc>
          <w:tcPr>
            <w:tcW w:w="1002" w:type="dxa"/>
            <w:shd w:val="clear" w:color="auto" w:fill="auto"/>
          </w:tcPr>
          <w:p w14:paraId="1AAB8F5A" w14:textId="77777777" w:rsidR="00AA6080" w:rsidRPr="00AA6080" w:rsidRDefault="00AA6080" w:rsidP="00AA6080">
            <w:pPr>
              <w:overflowPunct w:val="0"/>
              <w:autoSpaceDE w:val="0"/>
              <w:autoSpaceDN w:val="0"/>
              <w:adjustRightInd w:val="0"/>
              <w:jc w:val="center"/>
              <w:textAlignment w:val="baseline"/>
              <w:rPr>
                <w:sz w:val="20"/>
                <w:szCs w:val="20"/>
                <w:lang w:eastAsia="en-US"/>
              </w:rPr>
            </w:pPr>
            <w:r w:rsidRPr="00AA6080">
              <w:rPr>
                <w:sz w:val="20"/>
                <w:szCs w:val="20"/>
                <w:lang w:eastAsia="en-US"/>
              </w:rPr>
              <w:t>18</w:t>
            </w:r>
          </w:p>
        </w:tc>
        <w:tc>
          <w:tcPr>
            <w:tcW w:w="1042" w:type="dxa"/>
            <w:gridSpan w:val="2"/>
            <w:shd w:val="clear" w:color="auto" w:fill="auto"/>
          </w:tcPr>
          <w:p w14:paraId="42A73BF9" w14:textId="77777777" w:rsidR="00AA6080" w:rsidRPr="00AA6080" w:rsidRDefault="00AA6080" w:rsidP="00AA6080">
            <w:pPr>
              <w:overflowPunct w:val="0"/>
              <w:autoSpaceDE w:val="0"/>
              <w:autoSpaceDN w:val="0"/>
              <w:adjustRightInd w:val="0"/>
              <w:jc w:val="center"/>
              <w:textAlignment w:val="baseline"/>
              <w:rPr>
                <w:sz w:val="20"/>
                <w:szCs w:val="20"/>
                <w:lang w:eastAsia="en-US"/>
              </w:rPr>
            </w:pPr>
            <w:r w:rsidRPr="00AA6080">
              <w:rPr>
                <w:sz w:val="20"/>
                <w:szCs w:val="20"/>
                <w:lang w:eastAsia="en-US"/>
              </w:rPr>
              <w:t>19</w:t>
            </w:r>
          </w:p>
        </w:tc>
        <w:tc>
          <w:tcPr>
            <w:tcW w:w="718" w:type="dxa"/>
            <w:shd w:val="clear" w:color="auto" w:fill="auto"/>
          </w:tcPr>
          <w:p w14:paraId="24B495DA" w14:textId="77777777" w:rsidR="00AA6080" w:rsidRPr="00AA6080" w:rsidRDefault="00AA6080" w:rsidP="00AA6080">
            <w:pPr>
              <w:overflowPunct w:val="0"/>
              <w:autoSpaceDE w:val="0"/>
              <w:autoSpaceDN w:val="0"/>
              <w:adjustRightInd w:val="0"/>
              <w:jc w:val="center"/>
              <w:textAlignment w:val="baseline"/>
              <w:rPr>
                <w:sz w:val="20"/>
                <w:szCs w:val="20"/>
                <w:lang w:eastAsia="en-US"/>
              </w:rPr>
            </w:pPr>
            <w:r w:rsidRPr="00AA6080">
              <w:rPr>
                <w:sz w:val="20"/>
                <w:szCs w:val="20"/>
                <w:lang w:eastAsia="en-US"/>
              </w:rPr>
              <w:t>20</w:t>
            </w:r>
          </w:p>
        </w:tc>
        <w:tc>
          <w:tcPr>
            <w:tcW w:w="1076" w:type="dxa"/>
            <w:shd w:val="clear" w:color="auto" w:fill="auto"/>
          </w:tcPr>
          <w:p w14:paraId="3EE5903B" w14:textId="77777777" w:rsidR="00AA6080" w:rsidRPr="00AA6080" w:rsidRDefault="00AA6080" w:rsidP="00AA6080">
            <w:pPr>
              <w:overflowPunct w:val="0"/>
              <w:autoSpaceDE w:val="0"/>
              <w:autoSpaceDN w:val="0"/>
              <w:adjustRightInd w:val="0"/>
              <w:jc w:val="center"/>
              <w:textAlignment w:val="baseline"/>
              <w:rPr>
                <w:sz w:val="20"/>
                <w:szCs w:val="20"/>
                <w:lang w:eastAsia="en-US"/>
              </w:rPr>
            </w:pPr>
            <w:r w:rsidRPr="00AA6080">
              <w:rPr>
                <w:sz w:val="20"/>
                <w:szCs w:val="20"/>
                <w:lang w:eastAsia="en-US"/>
              </w:rPr>
              <w:t>21</w:t>
            </w:r>
          </w:p>
        </w:tc>
        <w:tc>
          <w:tcPr>
            <w:tcW w:w="897" w:type="dxa"/>
            <w:gridSpan w:val="2"/>
            <w:shd w:val="clear" w:color="auto" w:fill="auto"/>
          </w:tcPr>
          <w:p w14:paraId="07DAFE94" w14:textId="77777777" w:rsidR="00AA6080" w:rsidRPr="00AA6080" w:rsidRDefault="00AA6080" w:rsidP="00AA6080">
            <w:pPr>
              <w:overflowPunct w:val="0"/>
              <w:autoSpaceDE w:val="0"/>
              <w:autoSpaceDN w:val="0"/>
              <w:adjustRightInd w:val="0"/>
              <w:jc w:val="center"/>
              <w:textAlignment w:val="baseline"/>
              <w:rPr>
                <w:sz w:val="20"/>
                <w:szCs w:val="20"/>
                <w:lang w:eastAsia="en-US"/>
              </w:rPr>
            </w:pPr>
            <w:r w:rsidRPr="00AA6080">
              <w:rPr>
                <w:sz w:val="20"/>
                <w:szCs w:val="20"/>
                <w:lang w:eastAsia="en-US"/>
              </w:rPr>
              <w:t>22</w:t>
            </w:r>
          </w:p>
        </w:tc>
        <w:tc>
          <w:tcPr>
            <w:tcW w:w="1256" w:type="dxa"/>
            <w:gridSpan w:val="3"/>
            <w:shd w:val="clear" w:color="auto" w:fill="auto"/>
          </w:tcPr>
          <w:p w14:paraId="776530C1" w14:textId="77777777" w:rsidR="00AA6080" w:rsidRPr="00AA6080" w:rsidRDefault="00AA6080" w:rsidP="00AA6080">
            <w:pPr>
              <w:overflowPunct w:val="0"/>
              <w:autoSpaceDE w:val="0"/>
              <w:autoSpaceDN w:val="0"/>
              <w:adjustRightInd w:val="0"/>
              <w:jc w:val="center"/>
              <w:textAlignment w:val="baseline"/>
              <w:rPr>
                <w:sz w:val="20"/>
                <w:szCs w:val="20"/>
                <w:lang w:eastAsia="en-US"/>
              </w:rPr>
            </w:pPr>
            <w:r w:rsidRPr="00AA6080">
              <w:rPr>
                <w:sz w:val="20"/>
                <w:szCs w:val="20"/>
                <w:lang w:eastAsia="en-US"/>
              </w:rPr>
              <w:t>23</w:t>
            </w:r>
          </w:p>
        </w:tc>
        <w:tc>
          <w:tcPr>
            <w:tcW w:w="1435" w:type="dxa"/>
            <w:gridSpan w:val="3"/>
            <w:shd w:val="clear" w:color="auto" w:fill="auto"/>
          </w:tcPr>
          <w:p w14:paraId="000C56C6" w14:textId="77777777" w:rsidR="00AA6080" w:rsidRPr="00AA6080" w:rsidRDefault="00AA6080" w:rsidP="00AA6080">
            <w:pPr>
              <w:overflowPunct w:val="0"/>
              <w:autoSpaceDE w:val="0"/>
              <w:autoSpaceDN w:val="0"/>
              <w:adjustRightInd w:val="0"/>
              <w:jc w:val="center"/>
              <w:textAlignment w:val="baseline"/>
              <w:rPr>
                <w:sz w:val="20"/>
                <w:szCs w:val="20"/>
                <w:lang w:eastAsia="en-US"/>
              </w:rPr>
            </w:pPr>
            <w:r w:rsidRPr="00AA6080">
              <w:rPr>
                <w:sz w:val="20"/>
                <w:szCs w:val="20"/>
                <w:lang w:eastAsia="en-US"/>
              </w:rPr>
              <w:t>24</w:t>
            </w:r>
          </w:p>
        </w:tc>
        <w:tc>
          <w:tcPr>
            <w:tcW w:w="1663" w:type="dxa"/>
            <w:gridSpan w:val="2"/>
            <w:shd w:val="clear" w:color="auto" w:fill="auto"/>
          </w:tcPr>
          <w:p w14:paraId="7469AABD" w14:textId="77777777" w:rsidR="00AA6080" w:rsidRPr="00AA6080" w:rsidRDefault="00AA6080" w:rsidP="00AA6080">
            <w:pPr>
              <w:overflowPunct w:val="0"/>
              <w:autoSpaceDE w:val="0"/>
              <w:autoSpaceDN w:val="0"/>
              <w:adjustRightInd w:val="0"/>
              <w:jc w:val="center"/>
              <w:textAlignment w:val="baseline"/>
              <w:rPr>
                <w:sz w:val="20"/>
                <w:szCs w:val="20"/>
                <w:lang w:eastAsia="en-US"/>
              </w:rPr>
            </w:pPr>
            <w:r w:rsidRPr="00AA6080">
              <w:rPr>
                <w:sz w:val="20"/>
                <w:szCs w:val="20"/>
                <w:lang w:eastAsia="en-US"/>
              </w:rPr>
              <w:t>25</w:t>
            </w:r>
          </w:p>
        </w:tc>
        <w:tc>
          <w:tcPr>
            <w:tcW w:w="3269" w:type="dxa"/>
            <w:gridSpan w:val="4"/>
            <w:shd w:val="clear" w:color="auto" w:fill="auto"/>
          </w:tcPr>
          <w:p w14:paraId="14C81970" w14:textId="77777777" w:rsidR="00AA6080" w:rsidRPr="00AA6080" w:rsidRDefault="00AA6080" w:rsidP="00AA6080">
            <w:pPr>
              <w:overflowPunct w:val="0"/>
              <w:autoSpaceDE w:val="0"/>
              <w:autoSpaceDN w:val="0"/>
              <w:adjustRightInd w:val="0"/>
              <w:jc w:val="center"/>
              <w:textAlignment w:val="baseline"/>
              <w:rPr>
                <w:sz w:val="20"/>
                <w:szCs w:val="20"/>
                <w:lang w:eastAsia="en-US"/>
              </w:rPr>
            </w:pPr>
            <w:r w:rsidRPr="00AA6080">
              <w:rPr>
                <w:sz w:val="20"/>
                <w:szCs w:val="20"/>
                <w:lang w:eastAsia="en-US"/>
              </w:rPr>
              <w:t>26</w:t>
            </w:r>
          </w:p>
        </w:tc>
      </w:tr>
      <w:tr w:rsidR="00AA6080" w:rsidRPr="00AA6080" w14:paraId="48BAB7B7" w14:textId="77777777" w:rsidTr="0068094F">
        <w:trPr>
          <w:trHeight w:val="272"/>
        </w:trPr>
        <w:tc>
          <w:tcPr>
            <w:tcW w:w="671" w:type="dxa"/>
            <w:shd w:val="clear" w:color="auto" w:fill="auto"/>
          </w:tcPr>
          <w:p w14:paraId="090F3AEE" w14:textId="77777777" w:rsidR="00AA6080" w:rsidRPr="00AA6080" w:rsidRDefault="00AA6080" w:rsidP="00AA6080">
            <w:pPr>
              <w:overflowPunct w:val="0"/>
              <w:autoSpaceDE w:val="0"/>
              <w:autoSpaceDN w:val="0"/>
              <w:adjustRightInd w:val="0"/>
              <w:textAlignment w:val="baseline"/>
              <w:rPr>
                <w:lang w:eastAsia="en-US"/>
              </w:rPr>
            </w:pPr>
          </w:p>
        </w:tc>
        <w:tc>
          <w:tcPr>
            <w:tcW w:w="688" w:type="dxa"/>
            <w:shd w:val="clear" w:color="auto" w:fill="auto"/>
          </w:tcPr>
          <w:p w14:paraId="2854842B" w14:textId="77777777" w:rsidR="00AA6080" w:rsidRPr="00AA6080" w:rsidRDefault="00AA6080" w:rsidP="00AA6080">
            <w:pPr>
              <w:overflowPunct w:val="0"/>
              <w:autoSpaceDE w:val="0"/>
              <w:autoSpaceDN w:val="0"/>
              <w:adjustRightInd w:val="0"/>
              <w:textAlignment w:val="baseline"/>
              <w:rPr>
                <w:lang w:eastAsia="en-US"/>
              </w:rPr>
            </w:pPr>
          </w:p>
        </w:tc>
        <w:tc>
          <w:tcPr>
            <w:tcW w:w="1002" w:type="dxa"/>
            <w:shd w:val="clear" w:color="auto" w:fill="auto"/>
          </w:tcPr>
          <w:p w14:paraId="4D5F38F1" w14:textId="77777777" w:rsidR="00AA6080" w:rsidRPr="00AA6080" w:rsidRDefault="00AA6080" w:rsidP="00AA6080">
            <w:pPr>
              <w:overflowPunct w:val="0"/>
              <w:autoSpaceDE w:val="0"/>
              <w:autoSpaceDN w:val="0"/>
              <w:adjustRightInd w:val="0"/>
              <w:textAlignment w:val="baseline"/>
              <w:rPr>
                <w:lang w:eastAsia="en-US"/>
              </w:rPr>
            </w:pPr>
          </w:p>
        </w:tc>
        <w:tc>
          <w:tcPr>
            <w:tcW w:w="1042" w:type="dxa"/>
            <w:gridSpan w:val="2"/>
            <w:shd w:val="clear" w:color="auto" w:fill="auto"/>
          </w:tcPr>
          <w:p w14:paraId="59184ECA" w14:textId="77777777" w:rsidR="00AA6080" w:rsidRPr="00AA6080" w:rsidRDefault="00AA6080" w:rsidP="00AA6080">
            <w:pPr>
              <w:overflowPunct w:val="0"/>
              <w:autoSpaceDE w:val="0"/>
              <w:autoSpaceDN w:val="0"/>
              <w:adjustRightInd w:val="0"/>
              <w:textAlignment w:val="baseline"/>
              <w:rPr>
                <w:lang w:eastAsia="en-US"/>
              </w:rPr>
            </w:pPr>
          </w:p>
        </w:tc>
        <w:tc>
          <w:tcPr>
            <w:tcW w:w="718" w:type="dxa"/>
            <w:shd w:val="clear" w:color="auto" w:fill="auto"/>
          </w:tcPr>
          <w:p w14:paraId="1493820A" w14:textId="77777777" w:rsidR="00AA6080" w:rsidRPr="00AA6080" w:rsidRDefault="00AA6080" w:rsidP="00AA6080">
            <w:pPr>
              <w:overflowPunct w:val="0"/>
              <w:autoSpaceDE w:val="0"/>
              <w:autoSpaceDN w:val="0"/>
              <w:adjustRightInd w:val="0"/>
              <w:textAlignment w:val="baseline"/>
              <w:rPr>
                <w:lang w:eastAsia="en-US"/>
              </w:rPr>
            </w:pPr>
          </w:p>
        </w:tc>
        <w:tc>
          <w:tcPr>
            <w:tcW w:w="1076" w:type="dxa"/>
            <w:shd w:val="clear" w:color="auto" w:fill="auto"/>
          </w:tcPr>
          <w:p w14:paraId="79F06743" w14:textId="77777777" w:rsidR="00AA6080" w:rsidRPr="00AA6080" w:rsidRDefault="00AA6080" w:rsidP="00AA6080">
            <w:pPr>
              <w:overflowPunct w:val="0"/>
              <w:autoSpaceDE w:val="0"/>
              <w:autoSpaceDN w:val="0"/>
              <w:adjustRightInd w:val="0"/>
              <w:textAlignment w:val="baseline"/>
              <w:rPr>
                <w:lang w:eastAsia="en-US"/>
              </w:rPr>
            </w:pPr>
          </w:p>
        </w:tc>
        <w:tc>
          <w:tcPr>
            <w:tcW w:w="897" w:type="dxa"/>
            <w:gridSpan w:val="2"/>
            <w:shd w:val="clear" w:color="auto" w:fill="auto"/>
          </w:tcPr>
          <w:p w14:paraId="16B666EF" w14:textId="77777777" w:rsidR="00AA6080" w:rsidRPr="00AA6080" w:rsidRDefault="00AA6080" w:rsidP="00AA6080">
            <w:pPr>
              <w:overflowPunct w:val="0"/>
              <w:autoSpaceDE w:val="0"/>
              <w:autoSpaceDN w:val="0"/>
              <w:adjustRightInd w:val="0"/>
              <w:textAlignment w:val="baseline"/>
              <w:rPr>
                <w:lang w:eastAsia="en-US"/>
              </w:rPr>
            </w:pPr>
          </w:p>
        </w:tc>
        <w:tc>
          <w:tcPr>
            <w:tcW w:w="1256" w:type="dxa"/>
            <w:gridSpan w:val="3"/>
            <w:shd w:val="clear" w:color="auto" w:fill="auto"/>
          </w:tcPr>
          <w:p w14:paraId="6E97A062" w14:textId="77777777" w:rsidR="00AA6080" w:rsidRPr="00AA6080" w:rsidRDefault="00AA6080" w:rsidP="00AA6080">
            <w:pPr>
              <w:overflowPunct w:val="0"/>
              <w:autoSpaceDE w:val="0"/>
              <w:autoSpaceDN w:val="0"/>
              <w:adjustRightInd w:val="0"/>
              <w:textAlignment w:val="baseline"/>
              <w:rPr>
                <w:lang w:eastAsia="en-US"/>
              </w:rPr>
            </w:pPr>
          </w:p>
        </w:tc>
        <w:tc>
          <w:tcPr>
            <w:tcW w:w="1435" w:type="dxa"/>
            <w:gridSpan w:val="3"/>
            <w:shd w:val="clear" w:color="auto" w:fill="auto"/>
          </w:tcPr>
          <w:p w14:paraId="49F0CD55" w14:textId="77777777" w:rsidR="00AA6080" w:rsidRPr="00AA6080" w:rsidRDefault="00AA6080" w:rsidP="00AA6080">
            <w:pPr>
              <w:overflowPunct w:val="0"/>
              <w:autoSpaceDE w:val="0"/>
              <w:autoSpaceDN w:val="0"/>
              <w:adjustRightInd w:val="0"/>
              <w:textAlignment w:val="baseline"/>
              <w:rPr>
                <w:lang w:eastAsia="en-US"/>
              </w:rPr>
            </w:pPr>
          </w:p>
        </w:tc>
        <w:tc>
          <w:tcPr>
            <w:tcW w:w="1663" w:type="dxa"/>
            <w:gridSpan w:val="2"/>
            <w:shd w:val="clear" w:color="auto" w:fill="auto"/>
          </w:tcPr>
          <w:p w14:paraId="360207ED" w14:textId="77777777" w:rsidR="00AA6080" w:rsidRPr="00AA6080" w:rsidRDefault="00AA6080" w:rsidP="00AA6080">
            <w:pPr>
              <w:overflowPunct w:val="0"/>
              <w:autoSpaceDE w:val="0"/>
              <w:autoSpaceDN w:val="0"/>
              <w:adjustRightInd w:val="0"/>
              <w:textAlignment w:val="baseline"/>
              <w:rPr>
                <w:lang w:eastAsia="en-US"/>
              </w:rPr>
            </w:pPr>
          </w:p>
        </w:tc>
        <w:tc>
          <w:tcPr>
            <w:tcW w:w="3269" w:type="dxa"/>
            <w:gridSpan w:val="4"/>
            <w:shd w:val="clear" w:color="auto" w:fill="auto"/>
          </w:tcPr>
          <w:p w14:paraId="06F6E4F8" w14:textId="77777777" w:rsidR="00AA6080" w:rsidRPr="00AA6080" w:rsidRDefault="00AA6080" w:rsidP="00AA6080">
            <w:pPr>
              <w:overflowPunct w:val="0"/>
              <w:autoSpaceDE w:val="0"/>
              <w:autoSpaceDN w:val="0"/>
              <w:adjustRightInd w:val="0"/>
              <w:textAlignment w:val="baseline"/>
              <w:rPr>
                <w:lang w:eastAsia="en-US"/>
              </w:rPr>
            </w:pPr>
          </w:p>
        </w:tc>
      </w:tr>
    </w:tbl>
    <w:p w14:paraId="3AE9186F" w14:textId="77777777" w:rsidR="00436898" w:rsidRPr="007041FC" w:rsidRDefault="00436898" w:rsidP="00436898"/>
    <w:p w14:paraId="1B5B31FE" w14:textId="77777777" w:rsidR="00436898" w:rsidRPr="007041FC" w:rsidRDefault="00436898" w:rsidP="00436898">
      <w:r w:rsidRPr="007041FC">
        <w:t>* FT – fitosanitarinis patikrinimas; FS (NS) – nacionalinė fitosanitarinė stebėsena; FS (ES) – europinė fitosanitarinė stebėsena; MTVP – pripažintų tinkamomis laikyti augalus, augalinius produktus ir kitus objektus prekių saugojimo ir muitinio tikrinimo vietų patikra.</w:t>
      </w:r>
    </w:p>
    <w:p w14:paraId="1499A4AF" w14:textId="77777777" w:rsidR="00436898" w:rsidRPr="007041FC" w:rsidRDefault="00436898" w:rsidP="00436898">
      <w:r w:rsidRPr="007041FC">
        <w:t>** Ūkio subjektų fitosanitarinės rizikos grupės: I – mažos fitosanitarinės rizikos grupė; II – vidutinės fitosanitarinės rizikos grupė; III – didelės fitosanitarinės rizikos grupė.</w:t>
      </w:r>
    </w:p>
    <w:p w14:paraId="58E2A67C" w14:textId="335649EB" w:rsidR="00B460DD" w:rsidRPr="008313DC" w:rsidRDefault="00B460DD" w:rsidP="00B460DD">
      <w:pPr>
        <w:pStyle w:val="Sraopastraipa"/>
        <w:spacing w:after="0" w:line="240" w:lineRule="auto"/>
        <w:ind w:left="0"/>
        <w:contextualSpacing w:val="0"/>
        <w:jc w:val="both"/>
        <w:rPr>
          <w:rFonts w:ascii="Times New Roman" w:hAnsi="Times New Roman"/>
          <w:i/>
          <w:sz w:val="20"/>
          <w:szCs w:val="20"/>
        </w:rPr>
      </w:pPr>
      <w:r w:rsidRPr="008313DC">
        <w:rPr>
          <w:rFonts w:ascii="Times New Roman" w:hAnsi="Times New Roman"/>
          <w:i/>
          <w:sz w:val="20"/>
          <w:szCs w:val="20"/>
        </w:rPr>
        <w:t>Pakeitimai:</w:t>
      </w:r>
    </w:p>
    <w:p w14:paraId="36AEFA8B" w14:textId="0A19CAAD" w:rsidR="009677D7" w:rsidRPr="00B948DB" w:rsidRDefault="00B460DD" w:rsidP="00B460DD">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w:t>
      </w:r>
      <w:r>
        <w:rPr>
          <w:i/>
          <w:sz w:val="20"/>
          <w:szCs w:val="20"/>
        </w:rPr>
        <w:t>3</w:t>
      </w:r>
      <w:r w:rsidRPr="008313DC">
        <w:rPr>
          <w:rFonts w:ascii="Times New Roman" w:hAnsi="Times New Roman"/>
          <w:i/>
          <w:sz w:val="20"/>
          <w:szCs w:val="20"/>
        </w:rPr>
        <w:t xml:space="preserve"> m. </w:t>
      </w:r>
      <w:r>
        <w:rPr>
          <w:i/>
          <w:sz w:val="20"/>
          <w:szCs w:val="20"/>
        </w:rPr>
        <w:t>spalio</w:t>
      </w:r>
      <w:r w:rsidRPr="008313DC">
        <w:rPr>
          <w:rFonts w:ascii="Times New Roman" w:hAnsi="Times New Roman"/>
          <w:i/>
          <w:sz w:val="20"/>
          <w:szCs w:val="20"/>
        </w:rPr>
        <w:t xml:space="preserve"> 3</w:t>
      </w:r>
      <w:r>
        <w:rPr>
          <w:i/>
          <w:sz w:val="20"/>
          <w:szCs w:val="20"/>
        </w:rPr>
        <w:t>1</w:t>
      </w:r>
      <w:r w:rsidRPr="008313DC">
        <w:rPr>
          <w:rFonts w:ascii="Times New Roman" w:hAnsi="Times New Roman"/>
          <w:i/>
          <w:sz w:val="20"/>
          <w:szCs w:val="20"/>
        </w:rPr>
        <w:t xml:space="preserve"> d. įsakymas Nr. A1-</w:t>
      </w:r>
      <w:r>
        <w:rPr>
          <w:i/>
          <w:sz w:val="20"/>
          <w:szCs w:val="20"/>
        </w:rPr>
        <w:t>646</w:t>
      </w:r>
    </w:p>
    <w:p w14:paraId="71CE6549" w14:textId="77777777" w:rsidR="00436898" w:rsidRPr="00ED5E80" w:rsidRDefault="00436898" w:rsidP="00436898">
      <w:pPr>
        <w:jc w:val="center"/>
      </w:pPr>
      <w:r>
        <w:t>_____________________________</w:t>
      </w:r>
    </w:p>
    <w:p w14:paraId="1610839B" w14:textId="77777777" w:rsidR="00436898" w:rsidRPr="00ED5E80" w:rsidRDefault="00436898" w:rsidP="00436898"/>
    <w:bookmarkEnd w:id="7"/>
    <w:p w14:paraId="12957BF2" w14:textId="77777777" w:rsidR="00436898" w:rsidRPr="00ED5E80" w:rsidRDefault="00436898" w:rsidP="00436898"/>
    <w:tbl>
      <w:tblPr>
        <w:tblpPr w:leftFromText="180" w:rightFromText="180" w:vertAnchor="text" w:horzAnchor="margin" w:tblpY="116"/>
        <w:tblW w:w="0" w:type="auto"/>
        <w:tblLook w:val="04A0" w:firstRow="1" w:lastRow="0" w:firstColumn="1" w:lastColumn="0" w:noHBand="0" w:noVBand="1"/>
      </w:tblPr>
      <w:tblGrid>
        <w:gridCol w:w="3393"/>
        <w:gridCol w:w="3393"/>
        <w:gridCol w:w="3393"/>
        <w:gridCol w:w="3393"/>
      </w:tblGrid>
      <w:tr w:rsidR="00436898" w:rsidRPr="00ED5E80" w14:paraId="49CC67DE" w14:textId="77777777" w:rsidTr="009677D7">
        <w:trPr>
          <w:trHeight w:val="266"/>
        </w:trPr>
        <w:tc>
          <w:tcPr>
            <w:tcW w:w="3393" w:type="dxa"/>
          </w:tcPr>
          <w:p w14:paraId="0BC0B3F5" w14:textId="77777777" w:rsidR="00436898" w:rsidRPr="00ED5E80" w:rsidRDefault="00436898" w:rsidP="00736433">
            <w:pPr>
              <w:rPr>
                <w:strike/>
              </w:rPr>
            </w:pPr>
          </w:p>
        </w:tc>
        <w:tc>
          <w:tcPr>
            <w:tcW w:w="3393" w:type="dxa"/>
          </w:tcPr>
          <w:p w14:paraId="7AC46497" w14:textId="77777777" w:rsidR="00436898" w:rsidRPr="00ED5E80" w:rsidRDefault="00436898" w:rsidP="00736433">
            <w:pPr>
              <w:jc w:val="center"/>
              <w:rPr>
                <w:strike/>
                <w:sz w:val="20"/>
              </w:rPr>
            </w:pPr>
          </w:p>
        </w:tc>
        <w:tc>
          <w:tcPr>
            <w:tcW w:w="3393" w:type="dxa"/>
          </w:tcPr>
          <w:p w14:paraId="5B53E399" w14:textId="77777777" w:rsidR="00436898" w:rsidRPr="00ED5E80" w:rsidRDefault="00436898" w:rsidP="00736433">
            <w:pPr>
              <w:jc w:val="center"/>
              <w:rPr>
                <w:strike/>
                <w:sz w:val="20"/>
              </w:rPr>
            </w:pPr>
          </w:p>
        </w:tc>
        <w:tc>
          <w:tcPr>
            <w:tcW w:w="3393" w:type="dxa"/>
          </w:tcPr>
          <w:p w14:paraId="3C4F5068" w14:textId="77777777" w:rsidR="00436898" w:rsidRPr="00ED5E80" w:rsidRDefault="00436898" w:rsidP="00736433">
            <w:pPr>
              <w:jc w:val="center"/>
              <w:rPr>
                <w:strike/>
                <w:sz w:val="20"/>
              </w:rPr>
            </w:pPr>
          </w:p>
        </w:tc>
      </w:tr>
    </w:tbl>
    <w:p w14:paraId="41B9916E" w14:textId="77777777" w:rsidR="00436898" w:rsidRPr="00ED5E80" w:rsidRDefault="00436898" w:rsidP="00436898"/>
    <w:p w14:paraId="070D0461" w14:textId="77777777" w:rsidR="00436898" w:rsidRPr="00ED5E80" w:rsidRDefault="00436898" w:rsidP="00436898"/>
    <w:p w14:paraId="196DA16E" w14:textId="77777777" w:rsidR="00436898" w:rsidRDefault="00436898" w:rsidP="00436898">
      <w:pPr>
        <w:sectPr w:rsidR="00436898" w:rsidSect="00D67388">
          <w:pgSz w:w="15840" w:h="12240" w:orient="landscape" w:code="1"/>
          <w:pgMar w:top="1134" w:right="567" w:bottom="1134" w:left="1701" w:header="709" w:footer="709" w:gutter="0"/>
          <w:pgNumType w:start="1"/>
          <w:cols w:space="708"/>
          <w:titlePg/>
          <w:docGrid w:linePitch="360"/>
        </w:sectPr>
      </w:pPr>
    </w:p>
    <w:p w14:paraId="1DD6C88A" w14:textId="77777777" w:rsidR="00436898" w:rsidRPr="006E1828" w:rsidRDefault="00436898" w:rsidP="00B96BF5">
      <w:pPr>
        <w:ind w:left="9072" w:right="962"/>
      </w:pPr>
      <w:r w:rsidRPr="006E1828">
        <w:t>Ūkio subjektų veiklos ir objektų, kuriuose palankios sąlygos kenksmingiesiems organizmams plisti, rizikos vertinimo tvarkos aprašo</w:t>
      </w:r>
    </w:p>
    <w:p w14:paraId="53D805DC" w14:textId="77777777" w:rsidR="00436898" w:rsidRPr="006E1828" w:rsidRDefault="00436898" w:rsidP="00B96BF5">
      <w:pPr>
        <w:ind w:left="9072" w:right="962"/>
      </w:pPr>
      <w:r w:rsidRPr="006E1828">
        <w:t>3 priedas</w:t>
      </w:r>
    </w:p>
    <w:p w14:paraId="2165BDD0" w14:textId="77777777" w:rsidR="00436898" w:rsidRPr="006E1828" w:rsidRDefault="00436898" w:rsidP="00436898"/>
    <w:p w14:paraId="572F95D3" w14:textId="77777777" w:rsidR="00436898" w:rsidRPr="00D67388" w:rsidRDefault="00436898" w:rsidP="00436898">
      <w:pPr>
        <w:jc w:val="center"/>
        <w:rPr>
          <w:b/>
        </w:rPr>
      </w:pPr>
      <w:r w:rsidRPr="00D67388">
        <w:rPr>
          <w:b/>
        </w:rPr>
        <w:t>(Bendrųjų rizikų valdymo principų taikymo suvestinės formos pavyzdys)</w:t>
      </w:r>
    </w:p>
    <w:p w14:paraId="5793A182" w14:textId="77777777" w:rsidR="00436898" w:rsidRPr="006E1828" w:rsidRDefault="00436898" w:rsidP="00436898">
      <w:pPr>
        <w:jc w:val="center"/>
      </w:pPr>
    </w:p>
    <w:p w14:paraId="55A7DA9B" w14:textId="77777777" w:rsidR="00436898" w:rsidRPr="00D67388" w:rsidRDefault="00436898" w:rsidP="00436898">
      <w:pPr>
        <w:jc w:val="center"/>
        <w:rPr>
          <w:b/>
        </w:rPr>
      </w:pPr>
      <w:r w:rsidRPr="00D67388">
        <w:rPr>
          <w:b/>
        </w:rPr>
        <w:t>BENDRŲJŲ RIZIKŲ VALDYMO PRINCIPŲ TAIKYMO SUVESTINĖ</w:t>
      </w:r>
    </w:p>
    <w:p w14:paraId="237A591B" w14:textId="77777777" w:rsidR="00436898" w:rsidRPr="00687A20" w:rsidRDefault="00436898" w:rsidP="00436898">
      <w:pPr>
        <w:jc w:val="center"/>
        <w:rPr>
          <w:b/>
        </w:rPr>
      </w:pPr>
    </w:p>
    <w:p w14:paraId="27B930C2" w14:textId="77777777" w:rsidR="00436898" w:rsidRPr="00687A20" w:rsidRDefault="00436898" w:rsidP="00436898"/>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666"/>
        <w:gridCol w:w="1134"/>
        <w:gridCol w:w="1560"/>
        <w:gridCol w:w="1105"/>
        <w:gridCol w:w="1276"/>
        <w:gridCol w:w="1275"/>
        <w:gridCol w:w="1305"/>
        <w:gridCol w:w="1559"/>
        <w:gridCol w:w="1559"/>
      </w:tblGrid>
      <w:tr w:rsidR="00436898" w:rsidRPr="009B48A2" w14:paraId="7A260D2C" w14:textId="77777777" w:rsidTr="00736433">
        <w:trPr>
          <w:trHeight w:val="451"/>
        </w:trPr>
        <w:tc>
          <w:tcPr>
            <w:tcW w:w="597" w:type="dxa"/>
            <w:vMerge w:val="restart"/>
            <w:shd w:val="clear" w:color="auto" w:fill="auto"/>
          </w:tcPr>
          <w:p w14:paraId="0690550D" w14:textId="77777777" w:rsidR="00436898" w:rsidRPr="00D67388" w:rsidRDefault="00436898" w:rsidP="00736433">
            <w:pPr>
              <w:rPr>
                <w:b/>
                <w:bCs/>
              </w:rPr>
            </w:pPr>
            <w:r w:rsidRPr="00D67388">
              <w:rPr>
                <w:b/>
                <w:bCs/>
              </w:rPr>
              <w:t>Eil. Nr.</w:t>
            </w:r>
          </w:p>
        </w:tc>
        <w:tc>
          <w:tcPr>
            <w:tcW w:w="2800" w:type="dxa"/>
            <w:gridSpan w:val="2"/>
            <w:vMerge w:val="restart"/>
            <w:shd w:val="clear" w:color="auto" w:fill="auto"/>
            <w:vAlign w:val="center"/>
          </w:tcPr>
          <w:p w14:paraId="6A1B8DA4" w14:textId="77777777" w:rsidR="00436898" w:rsidRPr="00D67388" w:rsidRDefault="00436898" w:rsidP="00736433">
            <w:pPr>
              <w:jc w:val="center"/>
              <w:rPr>
                <w:b/>
                <w:bCs/>
              </w:rPr>
            </w:pPr>
            <w:r w:rsidRPr="00D67388">
              <w:rPr>
                <w:b/>
                <w:bCs/>
              </w:rPr>
              <w:t>Ūkio subjekto ar objekto, kuriame palankios sąlygos kenksmingiems organizmams plisti:</w:t>
            </w:r>
          </w:p>
        </w:tc>
        <w:tc>
          <w:tcPr>
            <w:tcW w:w="1560" w:type="dxa"/>
            <w:vMerge w:val="restart"/>
            <w:shd w:val="clear" w:color="auto" w:fill="auto"/>
          </w:tcPr>
          <w:p w14:paraId="3E15B614" w14:textId="77777777" w:rsidR="00436898" w:rsidRPr="00D67388" w:rsidRDefault="00436898" w:rsidP="00736433">
            <w:pPr>
              <w:jc w:val="center"/>
              <w:rPr>
                <w:b/>
                <w:bCs/>
              </w:rPr>
            </w:pPr>
            <w:r w:rsidRPr="00D67388">
              <w:rPr>
                <w:b/>
                <w:bCs/>
              </w:rPr>
              <w:t>Patikrinimo tipas*</w:t>
            </w:r>
          </w:p>
        </w:tc>
        <w:tc>
          <w:tcPr>
            <w:tcW w:w="1105" w:type="dxa"/>
            <w:vMerge w:val="restart"/>
            <w:shd w:val="clear" w:color="auto" w:fill="auto"/>
          </w:tcPr>
          <w:p w14:paraId="61F6ED83" w14:textId="77777777" w:rsidR="00436898" w:rsidRPr="00D67388" w:rsidRDefault="00436898" w:rsidP="00736433">
            <w:pPr>
              <w:jc w:val="center"/>
              <w:rPr>
                <w:b/>
                <w:bCs/>
              </w:rPr>
            </w:pPr>
            <w:r w:rsidRPr="00D67388">
              <w:rPr>
                <w:b/>
                <w:bCs/>
              </w:rPr>
              <w:t>Rizikos grupė**</w:t>
            </w:r>
          </w:p>
        </w:tc>
        <w:tc>
          <w:tcPr>
            <w:tcW w:w="1276" w:type="dxa"/>
            <w:vMerge w:val="restart"/>
            <w:shd w:val="clear" w:color="auto" w:fill="auto"/>
          </w:tcPr>
          <w:p w14:paraId="5902A908" w14:textId="77777777" w:rsidR="00436898" w:rsidRPr="002318AF" w:rsidRDefault="00436898" w:rsidP="00736433">
            <w:pPr>
              <w:jc w:val="center"/>
              <w:rPr>
                <w:b/>
                <w:bCs/>
              </w:rPr>
            </w:pPr>
            <w:r w:rsidRPr="002318AF">
              <w:rPr>
                <w:b/>
                <w:bCs/>
              </w:rPr>
              <w:t>Vėliausi</w:t>
            </w:r>
            <w:r w:rsidRPr="009B48A2">
              <w:rPr>
                <w:b/>
                <w:bCs/>
              </w:rPr>
              <w:t>a</w:t>
            </w:r>
            <w:r w:rsidRPr="002318AF">
              <w:rPr>
                <w:b/>
                <w:bCs/>
              </w:rPr>
              <w:t xml:space="preserve"> veiklos tikrinimo data</w:t>
            </w:r>
          </w:p>
        </w:tc>
        <w:tc>
          <w:tcPr>
            <w:tcW w:w="5698" w:type="dxa"/>
            <w:gridSpan w:val="4"/>
            <w:shd w:val="clear" w:color="auto" w:fill="auto"/>
          </w:tcPr>
          <w:p w14:paraId="561B8E11" w14:textId="77777777" w:rsidR="00436898" w:rsidRPr="002318AF" w:rsidRDefault="00436898" w:rsidP="00736433">
            <w:pPr>
              <w:jc w:val="right"/>
              <w:rPr>
                <w:b/>
                <w:bCs/>
              </w:rPr>
            </w:pPr>
            <w:r w:rsidRPr="002318AF">
              <w:rPr>
                <w:b/>
                <w:bCs/>
              </w:rPr>
              <w:t>Bendrųjų rizikų valdymo principų taikymas</w:t>
            </w:r>
          </w:p>
        </w:tc>
      </w:tr>
      <w:tr w:rsidR="00436898" w:rsidRPr="007B5DBF" w14:paraId="1BE5C26B" w14:textId="77777777" w:rsidTr="00736433">
        <w:trPr>
          <w:trHeight w:val="451"/>
        </w:trPr>
        <w:tc>
          <w:tcPr>
            <w:tcW w:w="597" w:type="dxa"/>
            <w:vMerge/>
            <w:shd w:val="clear" w:color="auto" w:fill="auto"/>
          </w:tcPr>
          <w:p w14:paraId="20D43983" w14:textId="77777777" w:rsidR="00436898" w:rsidRPr="009B48A2" w:rsidRDefault="00436898" w:rsidP="00736433">
            <w:pPr>
              <w:rPr>
                <w:bCs/>
              </w:rPr>
            </w:pPr>
          </w:p>
        </w:tc>
        <w:tc>
          <w:tcPr>
            <w:tcW w:w="2800" w:type="dxa"/>
            <w:gridSpan w:val="2"/>
            <w:vMerge/>
            <w:shd w:val="clear" w:color="auto" w:fill="auto"/>
          </w:tcPr>
          <w:p w14:paraId="08AF190E" w14:textId="77777777" w:rsidR="00436898" w:rsidRPr="009B48A2" w:rsidRDefault="00436898" w:rsidP="00736433">
            <w:pPr>
              <w:jc w:val="center"/>
              <w:rPr>
                <w:bCs/>
                <w:vertAlign w:val="superscript"/>
              </w:rPr>
            </w:pPr>
          </w:p>
        </w:tc>
        <w:tc>
          <w:tcPr>
            <w:tcW w:w="1560" w:type="dxa"/>
            <w:vMerge/>
            <w:shd w:val="clear" w:color="auto" w:fill="auto"/>
            <w:textDirection w:val="btLr"/>
          </w:tcPr>
          <w:p w14:paraId="4060E5FC" w14:textId="77777777" w:rsidR="00436898" w:rsidRPr="009B48A2" w:rsidRDefault="00436898" w:rsidP="00736433">
            <w:pPr>
              <w:jc w:val="center"/>
              <w:rPr>
                <w:bCs/>
              </w:rPr>
            </w:pPr>
          </w:p>
        </w:tc>
        <w:tc>
          <w:tcPr>
            <w:tcW w:w="1105" w:type="dxa"/>
            <w:vMerge/>
            <w:shd w:val="clear" w:color="auto" w:fill="auto"/>
            <w:textDirection w:val="btLr"/>
          </w:tcPr>
          <w:p w14:paraId="6063BB5A" w14:textId="77777777" w:rsidR="00436898" w:rsidRPr="009B48A2" w:rsidRDefault="00436898" w:rsidP="00736433">
            <w:pPr>
              <w:jc w:val="center"/>
              <w:rPr>
                <w:bCs/>
              </w:rPr>
            </w:pPr>
          </w:p>
        </w:tc>
        <w:tc>
          <w:tcPr>
            <w:tcW w:w="1276" w:type="dxa"/>
            <w:vMerge/>
            <w:shd w:val="clear" w:color="auto" w:fill="auto"/>
            <w:textDirection w:val="btLr"/>
          </w:tcPr>
          <w:p w14:paraId="6D175E7C" w14:textId="77777777" w:rsidR="00436898" w:rsidRPr="009B48A2" w:rsidRDefault="00436898" w:rsidP="00736433">
            <w:pPr>
              <w:jc w:val="center"/>
              <w:rPr>
                <w:bCs/>
              </w:rPr>
            </w:pPr>
          </w:p>
        </w:tc>
        <w:tc>
          <w:tcPr>
            <w:tcW w:w="1275" w:type="dxa"/>
            <w:vMerge w:val="restart"/>
            <w:shd w:val="clear" w:color="auto" w:fill="auto"/>
            <w:textDirection w:val="btLr"/>
          </w:tcPr>
          <w:p w14:paraId="34909F60" w14:textId="77777777" w:rsidR="00436898" w:rsidRPr="0091646E" w:rsidRDefault="00436898" w:rsidP="00736433">
            <w:pPr>
              <w:rPr>
                <w:bCs/>
              </w:rPr>
            </w:pPr>
            <w:r w:rsidRPr="00C27384">
              <w:rPr>
                <w:bCs/>
              </w:rPr>
              <w:t xml:space="preserve">Būtinas patikrinimas dėl didelės rizikos taikant </w:t>
            </w:r>
            <w:r w:rsidRPr="00D84347">
              <w:rPr>
                <w:bCs/>
              </w:rPr>
              <w:t>v</w:t>
            </w:r>
            <w:r w:rsidRPr="00165E9A">
              <w:rPr>
                <w:bCs/>
              </w:rPr>
              <w:t xml:space="preserve">ieningų reikalavimų principą </w:t>
            </w:r>
            <w:r w:rsidRPr="00B62D39">
              <w:rPr>
                <w:bCs/>
              </w:rPr>
              <w:t>pagal</w:t>
            </w:r>
            <w:r w:rsidRPr="0091646E">
              <w:rPr>
                <w:bCs/>
              </w:rPr>
              <w:t xml:space="preserve"> </w:t>
            </w:r>
            <w:r w:rsidRPr="00B04479">
              <w:rPr>
                <w:color w:val="000000"/>
              </w:rPr>
              <w:t>Bendrųjų rizikų</w:t>
            </w:r>
            <w:r w:rsidRPr="007B0306">
              <w:rPr>
                <w:color w:val="000000"/>
              </w:rPr>
              <w:t xml:space="preserve"> valdymo principų tvarkos aprašo </w:t>
            </w:r>
            <w:r w:rsidRPr="0091646E">
              <w:rPr>
                <w:bCs/>
              </w:rPr>
              <w:t>7.1 p.***</w:t>
            </w:r>
          </w:p>
          <w:p w14:paraId="2B3F081C" w14:textId="77777777" w:rsidR="00436898" w:rsidRPr="007B0306" w:rsidRDefault="00436898" w:rsidP="00736433">
            <w:pPr>
              <w:rPr>
                <w:bCs/>
              </w:rPr>
            </w:pPr>
          </w:p>
        </w:tc>
        <w:tc>
          <w:tcPr>
            <w:tcW w:w="1305" w:type="dxa"/>
            <w:vMerge w:val="restart"/>
            <w:shd w:val="clear" w:color="auto" w:fill="auto"/>
            <w:textDirection w:val="btLr"/>
          </w:tcPr>
          <w:p w14:paraId="2C26D2AB" w14:textId="77777777" w:rsidR="00436898" w:rsidRPr="007B0306" w:rsidRDefault="00436898" w:rsidP="00736433">
            <w:pPr>
              <w:rPr>
                <w:bCs/>
              </w:rPr>
            </w:pPr>
            <w:r w:rsidRPr="007B0306">
              <w:rPr>
                <w:bCs/>
              </w:rPr>
              <w:t>Patenka už ribų, nustatytų vieningų reikalavimų principu pagal</w:t>
            </w:r>
            <w:r w:rsidRPr="0091646E">
              <w:rPr>
                <w:bCs/>
              </w:rPr>
              <w:t xml:space="preserve"> </w:t>
            </w:r>
            <w:r w:rsidRPr="007B0306">
              <w:rPr>
                <w:color w:val="000000"/>
              </w:rPr>
              <w:t xml:space="preserve">Bendrųjų rizikų valdymo principų tvarkos aprašo </w:t>
            </w:r>
            <w:r w:rsidRPr="007A7FD4">
              <w:rPr>
                <w:bCs/>
              </w:rPr>
              <w:t xml:space="preserve">7.2 p. </w:t>
            </w:r>
            <w:r w:rsidRPr="007B0306">
              <w:rPr>
                <w:bCs/>
              </w:rPr>
              <w:t xml:space="preserve">arba </w:t>
            </w:r>
            <w:r w:rsidRPr="0091646E">
              <w:rPr>
                <w:bCs/>
              </w:rPr>
              <w:t>7.3 p.</w:t>
            </w:r>
          </w:p>
        </w:tc>
        <w:tc>
          <w:tcPr>
            <w:tcW w:w="1559" w:type="dxa"/>
            <w:vMerge w:val="restart"/>
            <w:shd w:val="clear" w:color="auto" w:fill="auto"/>
            <w:textDirection w:val="btLr"/>
          </w:tcPr>
          <w:p w14:paraId="686CC24F" w14:textId="77777777" w:rsidR="00436898" w:rsidRPr="007B0306" w:rsidRDefault="00436898" w:rsidP="00736433">
            <w:pPr>
              <w:rPr>
                <w:bCs/>
              </w:rPr>
            </w:pPr>
            <w:r w:rsidRPr="007B0306">
              <w:rPr>
                <w:bCs/>
              </w:rPr>
              <w:t xml:space="preserve">Galėtų būti patikrinimas dėl santykinai didelės rizikos; taikant pirmenybės siejimo su rizikingumo vertinimo balu principą pagal </w:t>
            </w:r>
            <w:r w:rsidRPr="007B0306">
              <w:rPr>
                <w:color w:val="000000"/>
              </w:rPr>
              <w:t xml:space="preserve">Bendrųjų rizikų valdymo principų tvarkos aprašo </w:t>
            </w:r>
            <w:r w:rsidRPr="007B0306">
              <w:rPr>
                <w:bCs/>
              </w:rPr>
              <w:t>8 p.</w:t>
            </w:r>
          </w:p>
          <w:p w14:paraId="2F6748E3" w14:textId="77777777" w:rsidR="00436898" w:rsidRPr="007B0306" w:rsidRDefault="00436898" w:rsidP="00736433">
            <w:pPr>
              <w:rPr>
                <w:bCs/>
              </w:rPr>
            </w:pPr>
          </w:p>
        </w:tc>
        <w:tc>
          <w:tcPr>
            <w:tcW w:w="1559" w:type="dxa"/>
            <w:vMerge w:val="restart"/>
            <w:shd w:val="clear" w:color="auto" w:fill="auto"/>
            <w:textDirection w:val="btLr"/>
          </w:tcPr>
          <w:p w14:paraId="2863ED6E" w14:textId="77777777" w:rsidR="00436898" w:rsidRPr="0091646E" w:rsidRDefault="00436898" w:rsidP="00736433">
            <w:pPr>
              <w:rPr>
                <w:bCs/>
              </w:rPr>
            </w:pPr>
            <w:r w:rsidRPr="007B0306">
              <w:rPr>
                <w:bCs/>
              </w:rPr>
              <w:t xml:space="preserve"> Patikrinimas nebūtinas dėl einamais metais atlikto veiklos patikrinimo, </w:t>
            </w:r>
            <w:r w:rsidRPr="00D67388">
              <w:rPr>
                <w:bCs/>
              </w:rPr>
              <w:t>taikant r</w:t>
            </w:r>
            <w:r>
              <w:rPr>
                <w:bCs/>
              </w:rPr>
              <w:t>acionalumo</w:t>
            </w:r>
            <w:r w:rsidRPr="00D67388">
              <w:rPr>
                <w:bCs/>
              </w:rPr>
              <w:t xml:space="preserve"> principą pagal</w:t>
            </w:r>
            <w:r w:rsidRPr="0091646E">
              <w:rPr>
                <w:bCs/>
              </w:rPr>
              <w:t xml:space="preserve"> </w:t>
            </w:r>
            <w:r w:rsidRPr="00D67388">
              <w:rPr>
                <w:color w:val="000000"/>
              </w:rPr>
              <w:t xml:space="preserve">Bendrųjų rizikų valdymo principų tvarkos aprašo </w:t>
            </w:r>
            <w:r w:rsidRPr="0091646E">
              <w:rPr>
                <w:bCs/>
              </w:rPr>
              <w:t xml:space="preserve">9.1 p. </w:t>
            </w:r>
            <w:r w:rsidRPr="00D67388">
              <w:rPr>
                <w:bCs/>
              </w:rPr>
              <w:t xml:space="preserve">arba </w:t>
            </w:r>
            <w:r w:rsidRPr="0091646E">
              <w:rPr>
                <w:bCs/>
              </w:rPr>
              <w:t>9.2 p.</w:t>
            </w:r>
          </w:p>
          <w:p w14:paraId="1C985AF2" w14:textId="77777777" w:rsidR="00436898" w:rsidRPr="007B0306" w:rsidRDefault="00436898" w:rsidP="00736433">
            <w:pPr>
              <w:rPr>
                <w:bCs/>
              </w:rPr>
            </w:pPr>
          </w:p>
        </w:tc>
      </w:tr>
      <w:tr w:rsidR="00436898" w:rsidRPr="007B0306" w14:paraId="10AB017C" w14:textId="77777777" w:rsidTr="00736433">
        <w:trPr>
          <w:trHeight w:val="3209"/>
        </w:trPr>
        <w:tc>
          <w:tcPr>
            <w:tcW w:w="597" w:type="dxa"/>
            <w:vMerge/>
            <w:shd w:val="clear" w:color="auto" w:fill="auto"/>
          </w:tcPr>
          <w:p w14:paraId="586047CE" w14:textId="77777777" w:rsidR="00436898" w:rsidRPr="007B0306" w:rsidRDefault="00436898" w:rsidP="00736433">
            <w:pPr>
              <w:rPr>
                <w:bCs/>
                <w:vertAlign w:val="superscript"/>
              </w:rPr>
            </w:pPr>
          </w:p>
        </w:tc>
        <w:tc>
          <w:tcPr>
            <w:tcW w:w="1666" w:type="dxa"/>
            <w:shd w:val="clear" w:color="auto" w:fill="auto"/>
          </w:tcPr>
          <w:p w14:paraId="00AF87E0" w14:textId="77777777" w:rsidR="00436898" w:rsidRPr="002318AF" w:rsidRDefault="00436898" w:rsidP="00736433">
            <w:pPr>
              <w:jc w:val="center"/>
              <w:rPr>
                <w:b/>
                <w:bCs/>
              </w:rPr>
            </w:pPr>
            <w:r w:rsidRPr="002318AF">
              <w:rPr>
                <w:b/>
                <w:bCs/>
              </w:rPr>
              <w:t>Vardas, pavardė / pavadinimas</w:t>
            </w:r>
          </w:p>
        </w:tc>
        <w:tc>
          <w:tcPr>
            <w:tcW w:w="1134" w:type="dxa"/>
            <w:shd w:val="clear" w:color="auto" w:fill="auto"/>
          </w:tcPr>
          <w:p w14:paraId="68FC4E46" w14:textId="77777777" w:rsidR="00436898" w:rsidRPr="002318AF" w:rsidRDefault="00436898" w:rsidP="00736433">
            <w:pPr>
              <w:jc w:val="center"/>
              <w:rPr>
                <w:b/>
                <w:bCs/>
              </w:rPr>
            </w:pPr>
            <w:r w:rsidRPr="002318AF">
              <w:rPr>
                <w:b/>
                <w:bCs/>
              </w:rPr>
              <w:t>adresas</w:t>
            </w:r>
          </w:p>
        </w:tc>
        <w:tc>
          <w:tcPr>
            <w:tcW w:w="1560" w:type="dxa"/>
            <w:vMerge/>
            <w:shd w:val="clear" w:color="auto" w:fill="auto"/>
          </w:tcPr>
          <w:p w14:paraId="3253D296" w14:textId="77777777" w:rsidR="00436898" w:rsidRPr="007B0306" w:rsidRDefault="00436898" w:rsidP="00736433">
            <w:pPr>
              <w:jc w:val="center"/>
              <w:rPr>
                <w:bCs/>
              </w:rPr>
            </w:pPr>
          </w:p>
        </w:tc>
        <w:tc>
          <w:tcPr>
            <w:tcW w:w="1105" w:type="dxa"/>
            <w:vMerge/>
            <w:shd w:val="clear" w:color="auto" w:fill="auto"/>
          </w:tcPr>
          <w:p w14:paraId="54C28CCC" w14:textId="77777777" w:rsidR="00436898" w:rsidRPr="007B0306" w:rsidRDefault="00436898" w:rsidP="00736433">
            <w:pPr>
              <w:jc w:val="center"/>
              <w:rPr>
                <w:bCs/>
              </w:rPr>
            </w:pPr>
          </w:p>
        </w:tc>
        <w:tc>
          <w:tcPr>
            <w:tcW w:w="1276" w:type="dxa"/>
            <w:vMerge/>
            <w:shd w:val="clear" w:color="auto" w:fill="auto"/>
          </w:tcPr>
          <w:p w14:paraId="46A052D0" w14:textId="77777777" w:rsidR="00436898" w:rsidRPr="007B0306" w:rsidRDefault="00436898" w:rsidP="00736433">
            <w:pPr>
              <w:jc w:val="center"/>
              <w:rPr>
                <w:bCs/>
              </w:rPr>
            </w:pPr>
          </w:p>
        </w:tc>
        <w:tc>
          <w:tcPr>
            <w:tcW w:w="1275" w:type="dxa"/>
            <w:vMerge/>
            <w:shd w:val="clear" w:color="auto" w:fill="auto"/>
          </w:tcPr>
          <w:p w14:paraId="0F95D433" w14:textId="77777777" w:rsidR="00436898" w:rsidRPr="007B0306" w:rsidRDefault="00436898" w:rsidP="00736433">
            <w:pPr>
              <w:rPr>
                <w:bCs/>
              </w:rPr>
            </w:pPr>
          </w:p>
        </w:tc>
        <w:tc>
          <w:tcPr>
            <w:tcW w:w="1305" w:type="dxa"/>
            <w:vMerge/>
            <w:shd w:val="clear" w:color="auto" w:fill="auto"/>
          </w:tcPr>
          <w:p w14:paraId="01FA6BD1" w14:textId="77777777" w:rsidR="00436898" w:rsidRPr="007B0306" w:rsidRDefault="00436898" w:rsidP="00736433">
            <w:pPr>
              <w:rPr>
                <w:bCs/>
              </w:rPr>
            </w:pPr>
          </w:p>
        </w:tc>
        <w:tc>
          <w:tcPr>
            <w:tcW w:w="1559" w:type="dxa"/>
            <w:vMerge/>
            <w:shd w:val="clear" w:color="auto" w:fill="auto"/>
          </w:tcPr>
          <w:p w14:paraId="7F06E8BE" w14:textId="77777777" w:rsidR="00436898" w:rsidRPr="007B0306" w:rsidRDefault="00436898" w:rsidP="00736433">
            <w:pPr>
              <w:rPr>
                <w:bCs/>
              </w:rPr>
            </w:pPr>
          </w:p>
        </w:tc>
        <w:tc>
          <w:tcPr>
            <w:tcW w:w="1559" w:type="dxa"/>
            <w:vMerge/>
            <w:shd w:val="clear" w:color="auto" w:fill="auto"/>
          </w:tcPr>
          <w:p w14:paraId="471BCD97" w14:textId="77777777" w:rsidR="00436898" w:rsidRPr="007B0306" w:rsidRDefault="00436898" w:rsidP="00736433">
            <w:pPr>
              <w:rPr>
                <w:bCs/>
              </w:rPr>
            </w:pPr>
          </w:p>
        </w:tc>
      </w:tr>
      <w:tr w:rsidR="00436898" w:rsidRPr="007B0306" w14:paraId="06155446" w14:textId="77777777" w:rsidTr="00736433">
        <w:trPr>
          <w:trHeight w:val="272"/>
        </w:trPr>
        <w:tc>
          <w:tcPr>
            <w:tcW w:w="597" w:type="dxa"/>
            <w:shd w:val="clear" w:color="auto" w:fill="auto"/>
          </w:tcPr>
          <w:p w14:paraId="0B64AD8B" w14:textId="77777777" w:rsidR="00436898" w:rsidRPr="007B0306" w:rsidRDefault="00436898" w:rsidP="00736433">
            <w:pPr>
              <w:rPr>
                <w:bCs/>
                <w:vertAlign w:val="superscript"/>
              </w:rPr>
            </w:pPr>
          </w:p>
        </w:tc>
        <w:tc>
          <w:tcPr>
            <w:tcW w:w="1666" w:type="dxa"/>
            <w:shd w:val="clear" w:color="auto" w:fill="auto"/>
          </w:tcPr>
          <w:p w14:paraId="30626984" w14:textId="77777777" w:rsidR="00436898" w:rsidRPr="007B0306" w:rsidRDefault="00436898" w:rsidP="00736433">
            <w:pPr>
              <w:rPr>
                <w:bCs/>
                <w:vertAlign w:val="superscript"/>
              </w:rPr>
            </w:pPr>
          </w:p>
        </w:tc>
        <w:tc>
          <w:tcPr>
            <w:tcW w:w="1134" w:type="dxa"/>
            <w:shd w:val="clear" w:color="auto" w:fill="auto"/>
          </w:tcPr>
          <w:p w14:paraId="4A76B363" w14:textId="77777777" w:rsidR="00436898" w:rsidRPr="007B0306" w:rsidRDefault="00436898" w:rsidP="00736433">
            <w:pPr>
              <w:rPr>
                <w:bCs/>
                <w:vertAlign w:val="superscript"/>
              </w:rPr>
            </w:pPr>
          </w:p>
        </w:tc>
        <w:tc>
          <w:tcPr>
            <w:tcW w:w="1560" w:type="dxa"/>
            <w:shd w:val="clear" w:color="auto" w:fill="auto"/>
          </w:tcPr>
          <w:p w14:paraId="46CCACEA" w14:textId="77777777" w:rsidR="00436898" w:rsidRPr="007B0306" w:rsidRDefault="00436898" w:rsidP="00736433">
            <w:pPr>
              <w:rPr>
                <w:bCs/>
                <w:vertAlign w:val="superscript"/>
              </w:rPr>
            </w:pPr>
          </w:p>
        </w:tc>
        <w:tc>
          <w:tcPr>
            <w:tcW w:w="1105" w:type="dxa"/>
            <w:shd w:val="clear" w:color="auto" w:fill="auto"/>
          </w:tcPr>
          <w:p w14:paraId="35125F94" w14:textId="77777777" w:rsidR="00436898" w:rsidRPr="007B0306" w:rsidRDefault="00436898" w:rsidP="00736433">
            <w:pPr>
              <w:rPr>
                <w:bCs/>
                <w:vertAlign w:val="superscript"/>
              </w:rPr>
            </w:pPr>
          </w:p>
        </w:tc>
        <w:tc>
          <w:tcPr>
            <w:tcW w:w="1276" w:type="dxa"/>
            <w:shd w:val="clear" w:color="auto" w:fill="auto"/>
          </w:tcPr>
          <w:p w14:paraId="1CE9910D" w14:textId="77777777" w:rsidR="00436898" w:rsidRPr="007B0306" w:rsidRDefault="00436898" w:rsidP="00736433">
            <w:pPr>
              <w:rPr>
                <w:bCs/>
                <w:vertAlign w:val="superscript"/>
              </w:rPr>
            </w:pPr>
          </w:p>
        </w:tc>
        <w:tc>
          <w:tcPr>
            <w:tcW w:w="1275" w:type="dxa"/>
            <w:shd w:val="clear" w:color="auto" w:fill="auto"/>
          </w:tcPr>
          <w:p w14:paraId="476E62DC" w14:textId="77777777" w:rsidR="00436898" w:rsidRPr="007B0306" w:rsidRDefault="00436898" w:rsidP="00736433">
            <w:pPr>
              <w:rPr>
                <w:bCs/>
                <w:vertAlign w:val="superscript"/>
              </w:rPr>
            </w:pPr>
          </w:p>
        </w:tc>
        <w:tc>
          <w:tcPr>
            <w:tcW w:w="1305" w:type="dxa"/>
            <w:shd w:val="clear" w:color="auto" w:fill="auto"/>
          </w:tcPr>
          <w:p w14:paraId="70D3622B" w14:textId="77777777" w:rsidR="00436898" w:rsidRPr="007B0306" w:rsidRDefault="00436898" w:rsidP="00736433">
            <w:pPr>
              <w:rPr>
                <w:bCs/>
                <w:vertAlign w:val="superscript"/>
              </w:rPr>
            </w:pPr>
          </w:p>
        </w:tc>
        <w:tc>
          <w:tcPr>
            <w:tcW w:w="1559" w:type="dxa"/>
            <w:shd w:val="clear" w:color="auto" w:fill="auto"/>
          </w:tcPr>
          <w:p w14:paraId="7869FA10" w14:textId="77777777" w:rsidR="00436898" w:rsidRPr="007B0306" w:rsidRDefault="00436898" w:rsidP="00736433">
            <w:pPr>
              <w:rPr>
                <w:bCs/>
                <w:vertAlign w:val="superscript"/>
              </w:rPr>
            </w:pPr>
          </w:p>
        </w:tc>
        <w:tc>
          <w:tcPr>
            <w:tcW w:w="1559" w:type="dxa"/>
            <w:shd w:val="clear" w:color="auto" w:fill="auto"/>
          </w:tcPr>
          <w:p w14:paraId="14AB2E21" w14:textId="77777777" w:rsidR="00436898" w:rsidRPr="007B0306" w:rsidRDefault="00436898" w:rsidP="00736433">
            <w:pPr>
              <w:rPr>
                <w:bCs/>
                <w:vertAlign w:val="superscript"/>
              </w:rPr>
            </w:pPr>
          </w:p>
        </w:tc>
      </w:tr>
      <w:tr w:rsidR="00436898" w:rsidRPr="007B0306" w14:paraId="68A7D7E3" w14:textId="77777777" w:rsidTr="00736433">
        <w:trPr>
          <w:trHeight w:val="272"/>
        </w:trPr>
        <w:tc>
          <w:tcPr>
            <w:tcW w:w="597" w:type="dxa"/>
            <w:shd w:val="clear" w:color="auto" w:fill="auto"/>
          </w:tcPr>
          <w:p w14:paraId="7B4EC250" w14:textId="77777777" w:rsidR="00436898" w:rsidRPr="007B0306" w:rsidRDefault="00436898" w:rsidP="00736433">
            <w:pPr>
              <w:rPr>
                <w:bCs/>
                <w:vertAlign w:val="superscript"/>
              </w:rPr>
            </w:pPr>
          </w:p>
        </w:tc>
        <w:tc>
          <w:tcPr>
            <w:tcW w:w="1666" w:type="dxa"/>
            <w:shd w:val="clear" w:color="auto" w:fill="auto"/>
          </w:tcPr>
          <w:p w14:paraId="178182CE" w14:textId="77777777" w:rsidR="00436898" w:rsidRPr="007B0306" w:rsidRDefault="00436898" w:rsidP="00736433">
            <w:pPr>
              <w:rPr>
                <w:bCs/>
                <w:vertAlign w:val="superscript"/>
              </w:rPr>
            </w:pPr>
          </w:p>
        </w:tc>
        <w:tc>
          <w:tcPr>
            <w:tcW w:w="1134" w:type="dxa"/>
            <w:shd w:val="clear" w:color="auto" w:fill="auto"/>
          </w:tcPr>
          <w:p w14:paraId="5E83E988" w14:textId="77777777" w:rsidR="00436898" w:rsidRPr="007B0306" w:rsidRDefault="00436898" w:rsidP="00736433">
            <w:pPr>
              <w:rPr>
                <w:bCs/>
                <w:vertAlign w:val="superscript"/>
              </w:rPr>
            </w:pPr>
          </w:p>
        </w:tc>
        <w:tc>
          <w:tcPr>
            <w:tcW w:w="1560" w:type="dxa"/>
            <w:shd w:val="clear" w:color="auto" w:fill="auto"/>
          </w:tcPr>
          <w:p w14:paraId="05A2F84D" w14:textId="77777777" w:rsidR="00436898" w:rsidRPr="007B0306" w:rsidRDefault="00436898" w:rsidP="00736433">
            <w:pPr>
              <w:rPr>
                <w:bCs/>
                <w:vertAlign w:val="superscript"/>
              </w:rPr>
            </w:pPr>
          </w:p>
        </w:tc>
        <w:tc>
          <w:tcPr>
            <w:tcW w:w="1105" w:type="dxa"/>
            <w:shd w:val="clear" w:color="auto" w:fill="auto"/>
          </w:tcPr>
          <w:p w14:paraId="581C590B" w14:textId="77777777" w:rsidR="00436898" w:rsidRPr="007B0306" w:rsidRDefault="00436898" w:rsidP="00736433">
            <w:pPr>
              <w:rPr>
                <w:bCs/>
                <w:vertAlign w:val="superscript"/>
              </w:rPr>
            </w:pPr>
          </w:p>
        </w:tc>
        <w:tc>
          <w:tcPr>
            <w:tcW w:w="1276" w:type="dxa"/>
            <w:shd w:val="clear" w:color="auto" w:fill="auto"/>
          </w:tcPr>
          <w:p w14:paraId="5290E83E" w14:textId="77777777" w:rsidR="00436898" w:rsidRPr="007B0306" w:rsidRDefault="00436898" w:rsidP="00736433">
            <w:pPr>
              <w:rPr>
                <w:bCs/>
                <w:vertAlign w:val="superscript"/>
              </w:rPr>
            </w:pPr>
          </w:p>
        </w:tc>
        <w:tc>
          <w:tcPr>
            <w:tcW w:w="1275" w:type="dxa"/>
            <w:shd w:val="clear" w:color="auto" w:fill="auto"/>
          </w:tcPr>
          <w:p w14:paraId="1C2A65EC" w14:textId="77777777" w:rsidR="00436898" w:rsidRPr="007B0306" w:rsidRDefault="00436898" w:rsidP="00736433">
            <w:pPr>
              <w:rPr>
                <w:bCs/>
                <w:vertAlign w:val="superscript"/>
              </w:rPr>
            </w:pPr>
          </w:p>
        </w:tc>
        <w:tc>
          <w:tcPr>
            <w:tcW w:w="1305" w:type="dxa"/>
            <w:shd w:val="clear" w:color="auto" w:fill="auto"/>
          </w:tcPr>
          <w:p w14:paraId="2194C895" w14:textId="77777777" w:rsidR="00436898" w:rsidRPr="007B0306" w:rsidRDefault="00436898" w:rsidP="00736433">
            <w:pPr>
              <w:rPr>
                <w:bCs/>
                <w:vertAlign w:val="superscript"/>
              </w:rPr>
            </w:pPr>
          </w:p>
        </w:tc>
        <w:tc>
          <w:tcPr>
            <w:tcW w:w="1559" w:type="dxa"/>
            <w:shd w:val="clear" w:color="auto" w:fill="auto"/>
          </w:tcPr>
          <w:p w14:paraId="63DFB84B" w14:textId="77777777" w:rsidR="00436898" w:rsidRPr="007B0306" w:rsidRDefault="00436898" w:rsidP="00736433">
            <w:pPr>
              <w:rPr>
                <w:bCs/>
                <w:vertAlign w:val="superscript"/>
              </w:rPr>
            </w:pPr>
          </w:p>
        </w:tc>
        <w:tc>
          <w:tcPr>
            <w:tcW w:w="1559" w:type="dxa"/>
            <w:shd w:val="clear" w:color="auto" w:fill="auto"/>
          </w:tcPr>
          <w:p w14:paraId="18AE0FFB" w14:textId="77777777" w:rsidR="00436898" w:rsidRPr="007B0306" w:rsidRDefault="00436898" w:rsidP="00736433">
            <w:pPr>
              <w:rPr>
                <w:bCs/>
                <w:vertAlign w:val="superscript"/>
              </w:rPr>
            </w:pPr>
          </w:p>
        </w:tc>
      </w:tr>
    </w:tbl>
    <w:p w14:paraId="0A121927" w14:textId="77777777" w:rsidR="00436898" w:rsidRPr="007B0306" w:rsidRDefault="00436898" w:rsidP="00436898"/>
    <w:p w14:paraId="735BA00B" w14:textId="77777777" w:rsidR="00436898" w:rsidRPr="007B0306" w:rsidRDefault="00436898" w:rsidP="00436898"/>
    <w:p w14:paraId="1D17ACA6" w14:textId="77777777" w:rsidR="00436898" w:rsidRPr="007B0306" w:rsidRDefault="00436898" w:rsidP="00436898"/>
    <w:p w14:paraId="30473073" w14:textId="77777777" w:rsidR="00436898" w:rsidRPr="007B0306" w:rsidRDefault="00436898" w:rsidP="00436898"/>
    <w:p w14:paraId="361A84F1" w14:textId="77777777" w:rsidR="00436898" w:rsidRPr="007B0306" w:rsidRDefault="00436898" w:rsidP="00436898"/>
    <w:p w14:paraId="326AF13C" w14:textId="77777777" w:rsidR="00436898" w:rsidRPr="007B0306" w:rsidRDefault="00436898" w:rsidP="00436898"/>
    <w:tbl>
      <w:tblPr>
        <w:tblStyle w:val="Lentelstinklelis"/>
        <w:tblW w:w="0" w:type="auto"/>
        <w:tblLook w:val="04A0" w:firstRow="1" w:lastRow="0" w:firstColumn="1" w:lastColumn="0" w:noHBand="0" w:noVBand="1"/>
      </w:tblPr>
      <w:tblGrid>
        <w:gridCol w:w="1668"/>
        <w:gridCol w:w="1417"/>
        <w:gridCol w:w="709"/>
        <w:gridCol w:w="1559"/>
        <w:gridCol w:w="709"/>
        <w:gridCol w:w="992"/>
        <w:gridCol w:w="1134"/>
        <w:gridCol w:w="709"/>
        <w:gridCol w:w="850"/>
        <w:gridCol w:w="851"/>
        <w:gridCol w:w="2538"/>
      </w:tblGrid>
      <w:tr w:rsidR="00436898" w:rsidRPr="007B0306" w14:paraId="37F740EF" w14:textId="77777777" w:rsidTr="00736433">
        <w:trPr>
          <w:trHeight w:val="563"/>
        </w:trPr>
        <w:tc>
          <w:tcPr>
            <w:tcW w:w="3085" w:type="dxa"/>
            <w:gridSpan w:val="2"/>
          </w:tcPr>
          <w:p w14:paraId="4BB562EA" w14:textId="77777777" w:rsidR="00436898" w:rsidRPr="002318AF" w:rsidRDefault="00436898" w:rsidP="00736433">
            <w:pPr>
              <w:rPr>
                <w:b/>
              </w:rPr>
            </w:pPr>
            <w:r w:rsidRPr="002318AF">
              <w:rPr>
                <w:b/>
              </w:rPr>
              <w:t>(Taip / Ne / Neaktualu)</w:t>
            </w:r>
          </w:p>
        </w:tc>
        <w:tc>
          <w:tcPr>
            <w:tcW w:w="709" w:type="dxa"/>
            <w:vMerge w:val="restart"/>
            <w:textDirection w:val="btLr"/>
          </w:tcPr>
          <w:p w14:paraId="08A075DD" w14:textId="77777777" w:rsidR="00436898" w:rsidRPr="003256F1" w:rsidRDefault="00436898" w:rsidP="00736433">
            <w:pPr>
              <w:ind w:left="113" w:right="113"/>
            </w:pPr>
            <w:r w:rsidRPr="00C27384">
              <w:t>Traukiamas į kitų metų Fitosanitarinių patikrinimų planą (Taip / Ne)</w:t>
            </w:r>
          </w:p>
        </w:tc>
        <w:tc>
          <w:tcPr>
            <w:tcW w:w="1559" w:type="dxa"/>
            <w:vMerge w:val="restart"/>
            <w:textDirection w:val="btLr"/>
          </w:tcPr>
          <w:p w14:paraId="0ED6645F" w14:textId="77777777" w:rsidR="00436898" w:rsidRPr="007B0306" w:rsidRDefault="00436898" w:rsidP="00736433">
            <w:pPr>
              <w:ind w:left="113" w:right="113"/>
            </w:pPr>
            <w:r w:rsidRPr="00D84347">
              <w:t>Planuojamas</w:t>
            </w:r>
            <w:r w:rsidRPr="00C27384">
              <w:t xml:space="preserve"> taikant didesnę patikrinimų imtį, nustatytą </w:t>
            </w:r>
            <w:r w:rsidRPr="00D84347">
              <w:t>r</w:t>
            </w:r>
            <w:r w:rsidRPr="00165E9A">
              <w:t xml:space="preserve">otacijos tvarkos principo </w:t>
            </w:r>
            <w:r w:rsidRPr="00B62D39">
              <w:t>pa</w:t>
            </w:r>
            <w:r w:rsidRPr="00B04479">
              <w:t>g</w:t>
            </w:r>
            <w:r w:rsidRPr="007B0306">
              <w:t xml:space="preserve">al </w:t>
            </w:r>
            <w:r w:rsidRPr="007B0306">
              <w:rPr>
                <w:color w:val="000000"/>
              </w:rPr>
              <w:t xml:space="preserve">Bendrųjų rizikų valdymo principų tvarkos aprašo </w:t>
            </w:r>
            <w:r w:rsidRPr="007A7FD4">
              <w:t xml:space="preserve">11.2 p. </w:t>
            </w:r>
            <w:r w:rsidRPr="007B0306">
              <w:t>(Taip / Ne / Neaktualu)</w:t>
            </w:r>
          </w:p>
        </w:tc>
        <w:tc>
          <w:tcPr>
            <w:tcW w:w="4394" w:type="dxa"/>
            <w:gridSpan w:val="5"/>
          </w:tcPr>
          <w:p w14:paraId="51D5561F" w14:textId="77777777" w:rsidR="00436898" w:rsidRPr="002318AF" w:rsidRDefault="00436898" w:rsidP="00736433">
            <w:pPr>
              <w:ind w:left="113" w:right="113"/>
              <w:jc w:val="center"/>
              <w:rPr>
                <w:b/>
              </w:rPr>
            </w:pPr>
            <w:r w:rsidRPr="002318AF">
              <w:rPr>
                <w:b/>
              </w:rPr>
              <w:t>Priežastys skirti kitą veiklos tikrintoją (Taip / Ne)</w:t>
            </w:r>
          </w:p>
        </w:tc>
        <w:tc>
          <w:tcPr>
            <w:tcW w:w="851" w:type="dxa"/>
            <w:vMerge w:val="restart"/>
            <w:textDirection w:val="btLr"/>
          </w:tcPr>
          <w:p w14:paraId="0055B34A" w14:textId="77777777" w:rsidR="00436898" w:rsidRPr="00D84347" w:rsidRDefault="00436898" w:rsidP="00736433">
            <w:pPr>
              <w:ind w:left="113" w:right="113"/>
            </w:pPr>
            <w:r w:rsidRPr="00C27384">
              <w:t xml:space="preserve">Patikrinimą vykdys kitas regioninis skyrius  </w:t>
            </w:r>
            <w:r w:rsidRPr="003256F1">
              <w:t>(Taip / Ne)</w:t>
            </w:r>
          </w:p>
        </w:tc>
        <w:tc>
          <w:tcPr>
            <w:tcW w:w="2538" w:type="dxa"/>
            <w:vMerge w:val="restart"/>
          </w:tcPr>
          <w:p w14:paraId="72CBD10E" w14:textId="77777777" w:rsidR="00436898" w:rsidRPr="002318AF" w:rsidRDefault="00436898" w:rsidP="00736433">
            <w:pPr>
              <w:ind w:left="113" w:right="113"/>
              <w:jc w:val="center"/>
              <w:rPr>
                <w:b/>
              </w:rPr>
            </w:pPr>
            <w:r w:rsidRPr="002318AF">
              <w:rPr>
                <w:b/>
              </w:rPr>
              <w:t>Patikrinimą atlikti parinkto kito regioninio skyriaus pavadinimas</w:t>
            </w:r>
          </w:p>
          <w:p w14:paraId="1020089E" w14:textId="77777777" w:rsidR="00436898" w:rsidRPr="00C27384" w:rsidRDefault="00436898" w:rsidP="00736433">
            <w:pPr>
              <w:ind w:left="113" w:right="113"/>
              <w:jc w:val="center"/>
            </w:pPr>
            <w:r w:rsidRPr="002318AF">
              <w:rPr>
                <w:b/>
              </w:rPr>
              <w:t xml:space="preserve"> (kitos pastabos)</w:t>
            </w:r>
          </w:p>
        </w:tc>
      </w:tr>
      <w:tr w:rsidR="00436898" w:rsidRPr="009B48A2" w14:paraId="4790593C" w14:textId="77777777" w:rsidTr="00736433">
        <w:trPr>
          <w:cantSplit/>
          <w:trHeight w:val="3955"/>
        </w:trPr>
        <w:tc>
          <w:tcPr>
            <w:tcW w:w="1668" w:type="dxa"/>
            <w:tcBorders>
              <w:bottom w:val="single" w:sz="4" w:space="0" w:color="auto"/>
            </w:tcBorders>
            <w:textDirection w:val="btLr"/>
          </w:tcPr>
          <w:p w14:paraId="2382D8C2" w14:textId="77777777" w:rsidR="00436898" w:rsidRPr="007B0306" w:rsidRDefault="00436898" w:rsidP="00736433">
            <w:pPr>
              <w:ind w:left="113" w:right="113"/>
            </w:pPr>
            <w:r w:rsidRPr="007B0306">
              <w:t xml:space="preserve">Taikytina sumažinta patikrinimų imtis, nustatyta reprezentatyvios visų tikrinamų ūkio subjektų veiklų imties principu pagal </w:t>
            </w:r>
            <w:r w:rsidRPr="007B0306">
              <w:rPr>
                <w:color w:val="000000"/>
              </w:rPr>
              <w:t xml:space="preserve">Bendrųjų rizikų valdymo principų tvarkos aprašo </w:t>
            </w:r>
            <w:r w:rsidRPr="007B0306">
              <w:t>10 p.</w:t>
            </w:r>
          </w:p>
        </w:tc>
        <w:tc>
          <w:tcPr>
            <w:tcW w:w="1417" w:type="dxa"/>
            <w:tcBorders>
              <w:bottom w:val="single" w:sz="4" w:space="0" w:color="auto"/>
            </w:tcBorders>
            <w:textDirection w:val="btLr"/>
          </w:tcPr>
          <w:p w14:paraId="6DC24C56" w14:textId="77777777" w:rsidR="00436898" w:rsidRPr="007B0306" w:rsidRDefault="00436898" w:rsidP="00736433">
            <w:pPr>
              <w:ind w:left="113" w:right="113"/>
            </w:pPr>
            <w:r w:rsidRPr="007B0306">
              <w:t xml:space="preserve">Patikrinimas negali būti atidedamas taikant rotacijos tvarkos principą pagal </w:t>
            </w:r>
            <w:r w:rsidRPr="007B0306">
              <w:rPr>
                <w:color w:val="000000"/>
              </w:rPr>
              <w:t xml:space="preserve">Bendrųjų rizikų valdymo principų tvarkos aprašo </w:t>
            </w:r>
            <w:r w:rsidRPr="007B0306">
              <w:t>11.1 p.</w:t>
            </w:r>
          </w:p>
        </w:tc>
        <w:tc>
          <w:tcPr>
            <w:tcW w:w="709" w:type="dxa"/>
            <w:vMerge/>
            <w:tcBorders>
              <w:bottom w:val="single" w:sz="4" w:space="0" w:color="auto"/>
            </w:tcBorders>
            <w:textDirection w:val="btLr"/>
          </w:tcPr>
          <w:p w14:paraId="51F7727B" w14:textId="77777777" w:rsidR="00436898" w:rsidRPr="007B0306" w:rsidRDefault="00436898" w:rsidP="00736433">
            <w:pPr>
              <w:ind w:left="113" w:right="113"/>
            </w:pPr>
          </w:p>
        </w:tc>
        <w:tc>
          <w:tcPr>
            <w:tcW w:w="1559" w:type="dxa"/>
            <w:vMerge/>
            <w:tcBorders>
              <w:bottom w:val="single" w:sz="4" w:space="0" w:color="auto"/>
            </w:tcBorders>
            <w:textDirection w:val="btLr"/>
          </w:tcPr>
          <w:p w14:paraId="1CEFC09D" w14:textId="77777777" w:rsidR="00436898" w:rsidRPr="007B0306" w:rsidRDefault="00436898" w:rsidP="00736433">
            <w:pPr>
              <w:ind w:left="113" w:right="113"/>
            </w:pPr>
          </w:p>
        </w:tc>
        <w:tc>
          <w:tcPr>
            <w:tcW w:w="709" w:type="dxa"/>
            <w:tcBorders>
              <w:bottom w:val="single" w:sz="4" w:space="0" w:color="auto"/>
            </w:tcBorders>
            <w:textDirection w:val="btLr"/>
          </w:tcPr>
          <w:p w14:paraId="34BCF80A" w14:textId="77777777" w:rsidR="00436898" w:rsidRPr="007B0306" w:rsidRDefault="00436898" w:rsidP="00736433">
            <w:pPr>
              <w:ind w:left="113" w:right="113"/>
            </w:pPr>
            <w:r w:rsidRPr="007B0306">
              <w:t>Buvo gautas skundas / pranešimas dėl netinkamai vykdomos priežiūros</w:t>
            </w:r>
          </w:p>
        </w:tc>
        <w:tc>
          <w:tcPr>
            <w:tcW w:w="992" w:type="dxa"/>
            <w:tcBorders>
              <w:bottom w:val="single" w:sz="4" w:space="0" w:color="auto"/>
            </w:tcBorders>
            <w:textDirection w:val="btLr"/>
          </w:tcPr>
          <w:p w14:paraId="50846987" w14:textId="77777777" w:rsidR="00436898" w:rsidRPr="00C27384" w:rsidRDefault="00436898" w:rsidP="00736433">
            <w:pPr>
              <w:ind w:left="113" w:right="113"/>
            </w:pPr>
            <w:r w:rsidRPr="007B0306">
              <w:t xml:space="preserve">Vėliausio veiklos patikrinimo metu surašytas </w:t>
            </w:r>
            <w:r>
              <w:t>administracinio nusižengimo protokolas</w:t>
            </w:r>
          </w:p>
        </w:tc>
        <w:tc>
          <w:tcPr>
            <w:tcW w:w="1134" w:type="dxa"/>
            <w:tcBorders>
              <w:bottom w:val="single" w:sz="4" w:space="0" w:color="auto"/>
            </w:tcBorders>
            <w:textDirection w:val="btLr"/>
          </w:tcPr>
          <w:p w14:paraId="02D14E57" w14:textId="77777777" w:rsidR="00436898" w:rsidRPr="003256F1" w:rsidRDefault="00436898" w:rsidP="00736433">
            <w:pPr>
              <w:ind w:left="113" w:right="113"/>
            </w:pPr>
            <w:r w:rsidRPr="00C27384">
              <w:t>Patikrinimui atlikti nepakanka regioninio skyriaus žmogiškųjų išteklių</w:t>
            </w:r>
          </w:p>
        </w:tc>
        <w:tc>
          <w:tcPr>
            <w:tcW w:w="709" w:type="dxa"/>
            <w:tcBorders>
              <w:bottom w:val="single" w:sz="4" w:space="0" w:color="auto"/>
            </w:tcBorders>
            <w:textDirection w:val="btLr"/>
          </w:tcPr>
          <w:p w14:paraId="32B72178" w14:textId="77777777" w:rsidR="00436898" w:rsidRPr="00B62D39" w:rsidRDefault="00436898" w:rsidP="00736433">
            <w:pPr>
              <w:ind w:left="113" w:right="113"/>
            </w:pPr>
            <w:r w:rsidRPr="00D84347">
              <w:t>Bus antrieji kenkėjo židinio priežiūros metai</w:t>
            </w:r>
            <w:r w:rsidRPr="00165E9A">
              <w:t>****</w:t>
            </w:r>
          </w:p>
          <w:p w14:paraId="368BC579" w14:textId="77777777" w:rsidR="00436898" w:rsidRPr="00B62D39" w:rsidRDefault="00436898" w:rsidP="00736433">
            <w:pPr>
              <w:ind w:left="113" w:right="113"/>
            </w:pPr>
          </w:p>
        </w:tc>
        <w:tc>
          <w:tcPr>
            <w:tcW w:w="850" w:type="dxa"/>
            <w:tcBorders>
              <w:bottom w:val="single" w:sz="4" w:space="0" w:color="auto"/>
            </w:tcBorders>
            <w:textDirection w:val="btLr"/>
          </w:tcPr>
          <w:p w14:paraId="2B238B60" w14:textId="77777777" w:rsidR="00436898" w:rsidRPr="009B48A2" w:rsidRDefault="00436898" w:rsidP="00736433">
            <w:pPr>
              <w:ind w:left="113" w:right="113"/>
            </w:pPr>
            <w:r w:rsidRPr="00B04479">
              <w:t xml:space="preserve">Bus ketvirtieji iš eilės veiklos priežiūros metai </w:t>
            </w:r>
            <w:r w:rsidRPr="007B0306">
              <w:t>****</w:t>
            </w:r>
          </w:p>
          <w:p w14:paraId="0DA6A23E" w14:textId="77777777" w:rsidR="00436898" w:rsidRPr="009B48A2" w:rsidRDefault="00436898" w:rsidP="00736433">
            <w:pPr>
              <w:ind w:left="113" w:right="113"/>
            </w:pPr>
          </w:p>
        </w:tc>
        <w:tc>
          <w:tcPr>
            <w:tcW w:w="851" w:type="dxa"/>
            <w:vMerge/>
            <w:tcBorders>
              <w:bottom w:val="single" w:sz="4" w:space="0" w:color="auto"/>
            </w:tcBorders>
          </w:tcPr>
          <w:p w14:paraId="4CAAD91F" w14:textId="77777777" w:rsidR="00436898" w:rsidRPr="009B48A2" w:rsidRDefault="00436898" w:rsidP="00736433"/>
        </w:tc>
        <w:tc>
          <w:tcPr>
            <w:tcW w:w="2538" w:type="dxa"/>
            <w:vMerge/>
            <w:tcBorders>
              <w:bottom w:val="single" w:sz="4" w:space="0" w:color="auto"/>
            </w:tcBorders>
          </w:tcPr>
          <w:p w14:paraId="515867BB" w14:textId="77777777" w:rsidR="00436898" w:rsidRPr="009B48A2" w:rsidRDefault="00436898" w:rsidP="00736433"/>
        </w:tc>
      </w:tr>
      <w:tr w:rsidR="00436898" w:rsidRPr="009B48A2" w14:paraId="484BC687" w14:textId="77777777" w:rsidTr="00736433">
        <w:tc>
          <w:tcPr>
            <w:tcW w:w="1668" w:type="dxa"/>
          </w:tcPr>
          <w:p w14:paraId="07BC26A5" w14:textId="77777777" w:rsidR="00436898" w:rsidRPr="009B48A2" w:rsidRDefault="00436898" w:rsidP="00736433"/>
        </w:tc>
        <w:tc>
          <w:tcPr>
            <w:tcW w:w="1417" w:type="dxa"/>
          </w:tcPr>
          <w:p w14:paraId="5823453B" w14:textId="77777777" w:rsidR="00436898" w:rsidRPr="009B48A2" w:rsidRDefault="00436898" w:rsidP="00736433"/>
        </w:tc>
        <w:tc>
          <w:tcPr>
            <w:tcW w:w="709" w:type="dxa"/>
          </w:tcPr>
          <w:p w14:paraId="5C23D89A" w14:textId="77777777" w:rsidR="00436898" w:rsidRPr="009B48A2" w:rsidRDefault="00436898" w:rsidP="00736433"/>
        </w:tc>
        <w:tc>
          <w:tcPr>
            <w:tcW w:w="1559" w:type="dxa"/>
          </w:tcPr>
          <w:p w14:paraId="6639628F" w14:textId="77777777" w:rsidR="00436898" w:rsidRPr="009B48A2" w:rsidRDefault="00436898" w:rsidP="00736433"/>
        </w:tc>
        <w:tc>
          <w:tcPr>
            <w:tcW w:w="709" w:type="dxa"/>
          </w:tcPr>
          <w:p w14:paraId="42870741" w14:textId="77777777" w:rsidR="00436898" w:rsidRPr="009B48A2" w:rsidRDefault="00436898" w:rsidP="00736433"/>
        </w:tc>
        <w:tc>
          <w:tcPr>
            <w:tcW w:w="992" w:type="dxa"/>
          </w:tcPr>
          <w:p w14:paraId="512E1364" w14:textId="77777777" w:rsidR="00436898" w:rsidRPr="009B48A2" w:rsidRDefault="00436898" w:rsidP="00736433"/>
        </w:tc>
        <w:tc>
          <w:tcPr>
            <w:tcW w:w="1134" w:type="dxa"/>
          </w:tcPr>
          <w:p w14:paraId="6FAAC7CE" w14:textId="77777777" w:rsidR="00436898" w:rsidRPr="009B48A2" w:rsidRDefault="00436898" w:rsidP="00736433"/>
        </w:tc>
        <w:tc>
          <w:tcPr>
            <w:tcW w:w="709" w:type="dxa"/>
          </w:tcPr>
          <w:p w14:paraId="05C019EF" w14:textId="77777777" w:rsidR="00436898" w:rsidRPr="009B48A2" w:rsidRDefault="00436898" w:rsidP="00736433"/>
        </w:tc>
        <w:tc>
          <w:tcPr>
            <w:tcW w:w="850" w:type="dxa"/>
          </w:tcPr>
          <w:p w14:paraId="35AF8F1C" w14:textId="77777777" w:rsidR="00436898" w:rsidRPr="009B48A2" w:rsidRDefault="00436898" w:rsidP="00736433"/>
        </w:tc>
        <w:tc>
          <w:tcPr>
            <w:tcW w:w="851" w:type="dxa"/>
          </w:tcPr>
          <w:p w14:paraId="2B12023C" w14:textId="77777777" w:rsidR="00436898" w:rsidRPr="009B48A2" w:rsidRDefault="00436898" w:rsidP="00736433"/>
        </w:tc>
        <w:tc>
          <w:tcPr>
            <w:tcW w:w="2538" w:type="dxa"/>
          </w:tcPr>
          <w:p w14:paraId="6CEC8233" w14:textId="77777777" w:rsidR="00436898" w:rsidRPr="009B48A2" w:rsidRDefault="00436898" w:rsidP="00736433"/>
        </w:tc>
      </w:tr>
      <w:tr w:rsidR="00436898" w:rsidRPr="009B48A2" w14:paraId="4C51F320" w14:textId="77777777" w:rsidTr="00736433">
        <w:tc>
          <w:tcPr>
            <w:tcW w:w="1668" w:type="dxa"/>
          </w:tcPr>
          <w:p w14:paraId="1E0C0761" w14:textId="77777777" w:rsidR="00436898" w:rsidRPr="009B48A2" w:rsidRDefault="00436898" w:rsidP="00736433"/>
        </w:tc>
        <w:tc>
          <w:tcPr>
            <w:tcW w:w="1417" w:type="dxa"/>
          </w:tcPr>
          <w:p w14:paraId="4E83E203" w14:textId="77777777" w:rsidR="00436898" w:rsidRPr="009B48A2" w:rsidRDefault="00436898" w:rsidP="00736433"/>
        </w:tc>
        <w:tc>
          <w:tcPr>
            <w:tcW w:w="709" w:type="dxa"/>
          </w:tcPr>
          <w:p w14:paraId="34827BC3" w14:textId="77777777" w:rsidR="00436898" w:rsidRPr="009B48A2" w:rsidRDefault="00436898" w:rsidP="00736433"/>
        </w:tc>
        <w:tc>
          <w:tcPr>
            <w:tcW w:w="1559" w:type="dxa"/>
          </w:tcPr>
          <w:p w14:paraId="0CD2A62F" w14:textId="77777777" w:rsidR="00436898" w:rsidRPr="009B48A2" w:rsidRDefault="00436898" w:rsidP="00736433"/>
        </w:tc>
        <w:tc>
          <w:tcPr>
            <w:tcW w:w="709" w:type="dxa"/>
          </w:tcPr>
          <w:p w14:paraId="083E1159" w14:textId="77777777" w:rsidR="00436898" w:rsidRPr="009B48A2" w:rsidRDefault="00436898" w:rsidP="00736433"/>
        </w:tc>
        <w:tc>
          <w:tcPr>
            <w:tcW w:w="992" w:type="dxa"/>
          </w:tcPr>
          <w:p w14:paraId="502C469E" w14:textId="77777777" w:rsidR="00436898" w:rsidRPr="009B48A2" w:rsidRDefault="00436898" w:rsidP="00736433"/>
        </w:tc>
        <w:tc>
          <w:tcPr>
            <w:tcW w:w="1134" w:type="dxa"/>
          </w:tcPr>
          <w:p w14:paraId="4D9DF995" w14:textId="77777777" w:rsidR="00436898" w:rsidRPr="009B48A2" w:rsidRDefault="00436898" w:rsidP="00736433"/>
        </w:tc>
        <w:tc>
          <w:tcPr>
            <w:tcW w:w="709" w:type="dxa"/>
          </w:tcPr>
          <w:p w14:paraId="407CAF55" w14:textId="77777777" w:rsidR="00436898" w:rsidRPr="009B48A2" w:rsidRDefault="00436898" w:rsidP="00736433"/>
        </w:tc>
        <w:tc>
          <w:tcPr>
            <w:tcW w:w="850" w:type="dxa"/>
          </w:tcPr>
          <w:p w14:paraId="0A5F206E" w14:textId="77777777" w:rsidR="00436898" w:rsidRPr="009B48A2" w:rsidRDefault="00436898" w:rsidP="00736433"/>
        </w:tc>
        <w:tc>
          <w:tcPr>
            <w:tcW w:w="851" w:type="dxa"/>
          </w:tcPr>
          <w:p w14:paraId="7E6BD98C" w14:textId="77777777" w:rsidR="00436898" w:rsidRPr="009B48A2" w:rsidRDefault="00436898" w:rsidP="00736433"/>
        </w:tc>
        <w:tc>
          <w:tcPr>
            <w:tcW w:w="2538" w:type="dxa"/>
          </w:tcPr>
          <w:p w14:paraId="0A85DBE7" w14:textId="77777777" w:rsidR="00436898" w:rsidRPr="009B48A2" w:rsidRDefault="00436898" w:rsidP="00736433"/>
        </w:tc>
      </w:tr>
    </w:tbl>
    <w:p w14:paraId="7EE8F407" w14:textId="77777777" w:rsidR="00436898" w:rsidRPr="009B48A2" w:rsidRDefault="00436898" w:rsidP="00436898"/>
    <w:p w14:paraId="49E6B5D7" w14:textId="77777777" w:rsidR="00436898" w:rsidRPr="009B48A2" w:rsidRDefault="00436898" w:rsidP="00436898"/>
    <w:p w14:paraId="32DAD857" w14:textId="77777777" w:rsidR="00436898" w:rsidRPr="009B48A2" w:rsidRDefault="00436898" w:rsidP="00436898">
      <w:pPr>
        <w:jc w:val="both"/>
      </w:pPr>
      <w:r w:rsidRPr="009B48A2">
        <w:t>* FT – fitosanitarinis patikrinimas; FS (NS) – nacionalinė fitosanitarinė stebėsena; FS (ES) – europinė fitosanitarinė stebėsena; MTVP – pripažintų tinkamomis laikyti augalus, augalinius produktus ir kitus objektus prekių saugojimo ir muitinio tikrinimo vietų patikra.</w:t>
      </w:r>
    </w:p>
    <w:p w14:paraId="10AA5647" w14:textId="77777777" w:rsidR="00436898" w:rsidRPr="009B48A2" w:rsidRDefault="00436898" w:rsidP="00436898">
      <w:pPr>
        <w:jc w:val="both"/>
      </w:pPr>
      <w:r w:rsidRPr="009B48A2">
        <w:t>** Ūkio subjektų fitosanitarinės rizikos grupės: I – mažos fitosanitarinės rizikos grupė; II – vidutinės fitosanitarinės rizikos grupė; III – didelės fitosanitarinės rizikos grupė.</w:t>
      </w:r>
    </w:p>
    <w:p w14:paraId="71BC9F02" w14:textId="77777777" w:rsidR="00436898" w:rsidRPr="009B48A2" w:rsidRDefault="00436898" w:rsidP="00436898">
      <w:pPr>
        <w:jc w:val="both"/>
      </w:pPr>
      <w:r w:rsidRPr="009B48A2">
        <w:t xml:space="preserve">*** Kai taikomas </w:t>
      </w:r>
      <w:r w:rsidRPr="00C27384">
        <w:t>konkretus Bendrųjų rizikų</w:t>
      </w:r>
      <w:r w:rsidRPr="009B48A2">
        <w:t xml:space="preserve"> valdymo principų tvarkos aprašo principas, dėl kitų </w:t>
      </w:r>
      <w:r>
        <w:t xml:space="preserve">aprašo </w:t>
      </w:r>
      <w:r w:rsidRPr="009B48A2">
        <w:t xml:space="preserve">principų </w:t>
      </w:r>
      <w:r>
        <w:t xml:space="preserve">taikymo, </w:t>
      </w:r>
      <w:r w:rsidRPr="009B48A2">
        <w:t>parenkama reikšmė „Neaktualu“.</w:t>
      </w:r>
    </w:p>
    <w:p w14:paraId="6C2CF8EC" w14:textId="77777777" w:rsidR="00436898" w:rsidRPr="009B48A2" w:rsidRDefault="00436898" w:rsidP="00436898">
      <w:pPr>
        <w:jc w:val="both"/>
      </w:pPr>
      <w:r w:rsidRPr="009B48A2">
        <w:t xml:space="preserve">**** Priimant sprendimą atsižvelgiama, ar nėra kitų priežasčių </w:t>
      </w:r>
      <w:r>
        <w:t xml:space="preserve">nustatyti </w:t>
      </w:r>
      <w:r w:rsidRPr="009B48A2">
        <w:t xml:space="preserve">5 proc. fitosanitarinių patikrinimų, kuriuos atliktų kitas regioninis skyrius, nei priklausytų pagal administracinį suskirstymą. Kitas regioninis skyrius parenkamas atsižvelgiant į mažiausią </w:t>
      </w:r>
      <w:r>
        <w:t xml:space="preserve">kelių </w:t>
      </w:r>
      <w:r w:rsidRPr="009B48A2">
        <w:t>atstumą tarp to regioninio skyriaus ir planuojamos patikrinimo vietos.</w:t>
      </w:r>
    </w:p>
    <w:p w14:paraId="145676D7" w14:textId="77777777" w:rsidR="009677D7" w:rsidRPr="008313DC" w:rsidRDefault="009677D7" w:rsidP="00671135">
      <w:pPr>
        <w:pStyle w:val="Sraopastraipa"/>
        <w:spacing w:after="0" w:line="240" w:lineRule="auto"/>
        <w:ind w:left="0"/>
        <w:jc w:val="both"/>
        <w:rPr>
          <w:rFonts w:ascii="Times New Roman" w:hAnsi="Times New Roman"/>
          <w:i/>
          <w:sz w:val="20"/>
          <w:szCs w:val="20"/>
        </w:rPr>
      </w:pPr>
      <w:r w:rsidRPr="008313DC">
        <w:rPr>
          <w:rFonts w:ascii="Times New Roman" w:hAnsi="Times New Roman"/>
          <w:i/>
          <w:sz w:val="20"/>
          <w:szCs w:val="20"/>
        </w:rPr>
        <w:t>Pakeitimai:</w:t>
      </w:r>
    </w:p>
    <w:p w14:paraId="5419C862" w14:textId="77777777" w:rsidR="009677D7" w:rsidRPr="00B948DB" w:rsidRDefault="009677D7" w:rsidP="009677D7">
      <w:pPr>
        <w:pStyle w:val="Sraopastraipa"/>
        <w:spacing w:after="0" w:line="360" w:lineRule="auto"/>
        <w:ind w:left="0"/>
        <w:jc w:val="both"/>
        <w:rPr>
          <w:rFonts w:ascii="Times New Roman" w:hAnsi="Times New Roman"/>
          <w:i/>
        </w:rPr>
      </w:pPr>
      <w:r w:rsidRPr="008313DC">
        <w:rPr>
          <w:rFonts w:ascii="Times New Roman" w:hAnsi="Times New Roman"/>
          <w:i/>
          <w:sz w:val="20"/>
          <w:szCs w:val="20"/>
        </w:rPr>
        <w:t>2021 m. lapkričio 30 d. įsakymas Nr. A1-705</w:t>
      </w:r>
    </w:p>
    <w:p w14:paraId="7C292CDE" w14:textId="77777777" w:rsidR="00436898" w:rsidRPr="00687A20" w:rsidRDefault="00436898" w:rsidP="00436898">
      <w:pPr>
        <w:jc w:val="center"/>
      </w:pPr>
      <w:r w:rsidRPr="00687A20">
        <w:t>_____________________________</w:t>
      </w:r>
    </w:p>
    <w:p w14:paraId="52AB359C" w14:textId="77777777" w:rsidR="002B6C05" w:rsidRDefault="002B6C05" w:rsidP="002B6C05"/>
    <w:p w14:paraId="0D349058" w14:textId="77777777" w:rsidR="008A17AE" w:rsidRPr="00EA26D9" w:rsidRDefault="008A17AE" w:rsidP="002B6C05">
      <w:pPr>
        <w:sectPr w:rsidR="008A17AE" w:rsidRPr="00EA26D9" w:rsidSect="009677D7">
          <w:headerReference w:type="even" r:id="rId13"/>
          <w:footerReference w:type="even" r:id="rId14"/>
          <w:headerReference w:type="first" r:id="rId15"/>
          <w:footerReference w:type="first" r:id="rId16"/>
          <w:pgSz w:w="16838" w:h="11906" w:orient="landscape"/>
          <w:pgMar w:top="1134" w:right="567" w:bottom="851" w:left="1701" w:header="567" w:footer="567" w:gutter="0"/>
          <w:pgNumType w:start="1"/>
          <w:cols w:space="1296"/>
          <w:titlePg/>
          <w:docGrid w:linePitch="360"/>
        </w:sectPr>
      </w:pPr>
    </w:p>
    <w:p w14:paraId="34923E4F" w14:textId="77777777" w:rsidR="00FD35EE" w:rsidRPr="00EA26D9" w:rsidRDefault="00FD35EE" w:rsidP="00B96BF5">
      <w:pPr>
        <w:ind w:left="9639" w:right="536"/>
      </w:pPr>
      <w:r w:rsidRPr="00EA26D9">
        <w:t xml:space="preserve">Ūkio subjektų </w:t>
      </w:r>
      <w:r w:rsidR="005A597B" w:rsidRPr="00EA26D9">
        <w:t xml:space="preserve">veiklos </w:t>
      </w:r>
      <w:r w:rsidRPr="00EA26D9">
        <w:t>ir objektų</w:t>
      </w:r>
      <w:r w:rsidR="00BB1E84" w:rsidRPr="00EA26D9">
        <w:t xml:space="preserve">, kuriuose palankios sąlygos </w:t>
      </w:r>
      <w:r w:rsidR="00AF6938" w:rsidRPr="00EA26D9">
        <w:t xml:space="preserve">kenksmingiems organizmams </w:t>
      </w:r>
      <w:r w:rsidR="00BB1E84" w:rsidRPr="00EA26D9">
        <w:t xml:space="preserve">plisti, </w:t>
      </w:r>
      <w:r w:rsidRPr="00EA26D9">
        <w:t>rizikos vertinimo</w:t>
      </w:r>
      <w:r w:rsidR="005A597B" w:rsidRPr="00EA26D9">
        <w:t xml:space="preserve"> </w:t>
      </w:r>
      <w:r w:rsidRPr="00EA26D9">
        <w:t>tvarkos aprašo</w:t>
      </w:r>
    </w:p>
    <w:p w14:paraId="696D3B55" w14:textId="77777777" w:rsidR="00FE6111" w:rsidRDefault="00436898" w:rsidP="00B96BF5">
      <w:pPr>
        <w:ind w:left="9639" w:right="536"/>
      </w:pPr>
      <w:r>
        <w:t>4</w:t>
      </w:r>
      <w:r w:rsidR="00FE6111" w:rsidRPr="00EA26D9">
        <w:t xml:space="preserve"> priedas</w:t>
      </w:r>
    </w:p>
    <w:p w14:paraId="1E8A1588" w14:textId="77777777" w:rsidR="008A17AE" w:rsidRPr="00EA26D9" w:rsidRDefault="008A17AE" w:rsidP="00000CA7">
      <w:pPr>
        <w:spacing w:line="360" w:lineRule="auto"/>
        <w:ind w:left="10206"/>
      </w:pPr>
    </w:p>
    <w:p w14:paraId="3268BA3B" w14:textId="77777777" w:rsidR="007931AE" w:rsidRPr="00EA26D9" w:rsidRDefault="007931AE" w:rsidP="007931AE">
      <w:pPr>
        <w:autoSpaceDE w:val="0"/>
        <w:autoSpaceDN w:val="0"/>
        <w:adjustRightInd w:val="0"/>
        <w:jc w:val="center"/>
        <w:rPr>
          <w:b/>
          <w:bCs/>
        </w:rPr>
      </w:pPr>
      <w:r w:rsidRPr="00EA26D9">
        <w:rPr>
          <w:b/>
          <w:bCs/>
        </w:rPr>
        <w:t>(Fitosanitarinių patikrinimų plano form</w:t>
      </w:r>
      <w:r w:rsidR="008A17AE">
        <w:rPr>
          <w:b/>
          <w:bCs/>
        </w:rPr>
        <w:t>os pavyzdys</w:t>
      </w:r>
      <w:r w:rsidRPr="00EA26D9">
        <w:rPr>
          <w:b/>
          <w:bCs/>
        </w:rPr>
        <w:t>)</w:t>
      </w:r>
    </w:p>
    <w:p w14:paraId="76BD2945" w14:textId="77777777" w:rsidR="007931AE" w:rsidRPr="00EA26D9" w:rsidRDefault="007931AE" w:rsidP="00000CA7">
      <w:pPr>
        <w:autoSpaceDE w:val="0"/>
        <w:autoSpaceDN w:val="0"/>
        <w:adjustRightInd w:val="0"/>
        <w:spacing w:line="360" w:lineRule="auto"/>
        <w:jc w:val="center"/>
        <w:rPr>
          <w:b/>
          <w:bCs/>
        </w:rPr>
      </w:pPr>
    </w:p>
    <w:p w14:paraId="51E532FA" w14:textId="77777777" w:rsidR="007931AE" w:rsidRPr="00EA26D9" w:rsidRDefault="007931AE" w:rsidP="007931AE">
      <w:pPr>
        <w:jc w:val="center"/>
        <w:rPr>
          <w:b/>
          <w:bCs/>
        </w:rPr>
      </w:pPr>
      <w:r w:rsidRPr="00EA26D9">
        <w:rPr>
          <w:b/>
          <w:bCs/>
        </w:rPr>
        <w:t>FITOSANITARINIŲ PATIKRINIMŲ</w:t>
      </w:r>
      <w:r w:rsidRPr="00EA26D9">
        <w:rPr>
          <w:bCs/>
        </w:rPr>
        <w:t xml:space="preserve"> __________</w:t>
      </w:r>
      <w:r w:rsidRPr="00EA26D9">
        <w:rPr>
          <w:b/>
          <w:bCs/>
        </w:rPr>
        <w:t xml:space="preserve"> M. PLANAS </w:t>
      </w:r>
    </w:p>
    <w:p w14:paraId="60E184D9" w14:textId="77777777" w:rsidR="007931AE" w:rsidRPr="00EA26D9" w:rsidRDefault="007931AE" w:rsidP="00000CA7">
      <w:pPr>
        <w:spacing w:line="360" w:lineRule="auto"/>
        <w:jc w:val="center"/>
      </w:pPr>
    </w:p>
    <w:tbl>
      <w:tblPr>
        <w:tblW w:w="0" w:type="auto"/>
        <w:tblInd w:w="93" w:type="dxa"/>
        <w:tblLayout w:type="fixed"/>
        <w:tblLook w:val="04A0" w:firstRow="1" w:lastRow="0" w:firstColumn="1" w:lastColumn="0" w:noHBand="0" w:noVBand="1"/>
      </w:tblPr>
      <w:tblGrid>
        <w:gridCol w:w="631"/>
        <w:gridCol w:w="1369"/>
        <w:gridCol w:w="3032"/>
        <w:gridCol w:w="3060"/>
        <w:gridCol w:w="1980"/>
        <w:gridCol w:w="1530"/>
        <w:gridCol w:w="2298"/>
      </w:tblGrid>
      <w:tr w:rsidR="007931AE" w:rsidRPr="00EA26D9" w14:paraId="04FF6900" w14:textId="77777777" w:rsidTr="00A73B5F">
        <w:trPr>
          <w:trHeight w:val="377"/>
        </w:trPr>
        <w:tc>
          <w:tcPr>
            <w:tcW w:w="631" w:type="dxa"/>
            <w:vMerge w:val="restart"/>
            <w:tcBorders>
              <w:top w:val="single" w:sz="4" w:space="0" w:color="auto"/>
              <w:left w:val="single" w:sz="4" w:space="0" w:color="auto"/>
              <w:bottom w:val="single" w:sz="4" w:space="0" w:color="auto"/>
              <w:right w:val="single" w:sz="4" w:space="0" w:color="auto"/>
            </w:tcBorders>
            <w:noWrap/>
            <w:vAlign w:val="center"/>
            <w:hideMark/>
          </w:tcPr>
          <w:p w14:paraId="46B2657A" w14:textId="77777777" w:rsidR="007931AE" w:rsidRPr="00EA26D9" w:rsidRDefault="007931AE">
            <w:pPr>
              <w:spacing w:before="100" w:beforeAutospacing="1"/>
              <w:contextualSpacing/>
              <w:jc w:val="center"/>
              <w:rPr>
                <w:color w:val="000000"/>
                <w:sz w:val="22"/>
                <w:szCs w:val="22"/>
              </w:rPr>
            </w:pPr>
            <w:r w:rsidRPr="00EA26D9">
              <w:rPr>
                <w:color w:val="000000"/>
              </w:rPr>
              <w:t>Eil. Nr.</w:t>
            </w:r>
          </w:p>
        </w:tc>
        <w:tc>
          <w:tcPr>
            <w:tcW w:w="1369" w:type="dxa"/>
            <w:vMerge w:val="restart"/>
            <w:tcBorders>
              <w:top w:val="single" w:sz="4" w:space="0" w:color="auto"/>
              <w:left w:val="nil"/>
              <w:bottom w:val="single" w:sz="4" w:space="0" w:color="auto"/>
              <w:right w:val="single" w:sz="4" w:space="0" w:color="auto"/>
            </w:tcBorders>
            <w:noWrap/>
            <w:vAlign w:val="center"/>
            <w:hideMark/>
          </w:tcPr>
          <w:p w14:paraId="44EBE1B2" w14:textId="77777777" w:rsidR="007931AE" w:rsidRPr="00EA26D9" w:rsidRDefault="007931AE">
            <w:pPr>
              <w:jc w:val="center"/>
              <w:rPr>
                <w:color w:val="000000"/>
              </w:rPr>
            </w:pPr>
            <w:r w:rsidRPr="00EA26D9">
              <w:rPr>
                <w:color w:val="000000"/>
              </w:rPr>
              <w:t>Patikrinimo data / savaitė</w:t>
            </w:r>
          </w:p>
        </w:tc>
        <w:tc>
          <w:tcPr>
            <w:tcW w:w="6092" w:type="dxa"/>
            <w:gridSpan w:val="2"/>
            <w:tcBorders>
              <w:top w:val="single" w:sz="4" w:space="0" w:color="auto"/>
              <w:left w:val="single" w:sz="4" w:space="0" w:color="auto"/>
              <w:bottom w:val="single" w:sz="4" w:space="0" w:color="auto"/>
              <w:right w:val="single" w:sz="4" w:space="0" w:color="000000"/>
            </w:tcBorders>
            <w:noWrap/>
            <w:vAlign w:val="center"/>
            <w:hideMark/>
          </w:tcPr>
          <w:p w14:paraId="283E447B" w14:textId="77777777" w:rsidR="007931AE" w:rsidRPr="00EA26D9" w:rsidRDefault="007931AE" w:rsidP="006B7192">
            <w:pPr>
              <w:jc w:val="center"/>
              <w:rPr>
                <w:color w:val="000000"/>
              </w:rPr>
            </w:pPr>
            <w:r w:rsidRPr="00EA26D9">
              <w:rPr>
                <w:color w:val="000000"/>
              </w:rPr>
              <w:t>Ūkio subjekt</w:t>
            </w:r>
            <w:r w:rsidR="006B7192" w:rsidRPr="00EA26D9">
              <w:rPr>
                <w:color w:val="000000"/>
              </w:rPr>
              <w:t>o</w:t>
            </w:r>
            <w:r w:rsidR="00BB1E84" w:rsidRPr="00EA26D9">
              <w:rPr>
                <w:color w:val="000000"/>
              </w:rPr>
              <w:t xml:space="preserve"> ar objekto, kuriame palankios sąlygos kenksmingiems organizmams</w:t>
            </w:r>
            <w:r w:rsidR="006B7192" w:rsidRPr="00EA26D9">
              <w:rPr>
                <w:color w:val="000000"/>
              </w:rPr>
              <w:t xml:space="preserve"> plisti</w:t>
            </w:r>
          </w:p>
        </w:tc>
        <w:tc>
          <w:tcPr>
            <w:tcW w:w="1980" w:type="dxa"/>
            <w:vMerge w:val="restart"/>
            <w:tcBorders>
              <w:top w:val="single" w:sz="4" w:space="0" w:color="auto"/>
              <w:left w:val="nil"/>
              <w:bottom w:val="single" w:sz="4" w:space="0" w:color="auto"/>
              <w:right w:val="nil"/>
            </w:tcBorders>
            <w:noWrap/>
            <w:vAlign w:val="center"/>
            <w:hideMark/>
          </w:tcPr>
          <w:p w14:paraId="77D5DBDA" w14:textId="77777777" w:rsidR="007931AE" w:rsidRPr="00EA26D9" w:rsidRDefault="006B7192" w:rsidP="0002586C">
            <w:pPr>
              <w:spacing w:line="240" w:lineRule="atLeast"/>
              <w:jc w:val="center"/>
            </w:pPr>
            <w:r w:rsidRPr="00EA26D9">
              <w:t>Patikrinimo</w:t>
            </w:r>
            <w:r w:rsidR="007931AE" w:rsidRPr="00EA26D9">
              <w:t xml:space="preserve"> </w:t>
            </w:r>
            <w:r w:rsidR="0002586C" w:rsidRPr="00EA26D9">
              <w:t>tipas</w:t>
            </w:r>
            <w:r w:rsidR="007931AE" w:rsidRPr="00EA26D9">
              <w:t>*</w:t>
            </w:r>
          </w:p>
        </w:tc>
        <w:tc>
          <w:tcPr>
            <w:tcW w:w="1530" w:type="dxa"/>
            <w:vMerge w:val="restart"/>
            <w:tcBorders>
              <w:top w:val="single" w:sz="4" w:space="0" w:color="auto"/>
              <w:left w:val="single" w:sz="4" w:space="0" w:color="auto"/>
              <w:bottom w:val="single" w:sz="4" w:space="0" w:color="auto"/>
              <w:right w:val="single" w:sz="4" w:space="0" w:color="000000"/>
            </w:tcBorders>
            <w:noWrap/>
            <w:vAlign w:val="center"/>
            <w:hideMark/>
          </w:tcPr>
          <w:p w14:paraId="62602ABC" w14:textId="77777777" w:rsidR="007931AE" w:rsidRPr="00EA26D9" w:rsidRDefault="007931AE" w:rsidP="00AF6938">
            <w:pPr>
              <w:jc w:val="center"/>
            </w:pPr>
            <w:r w:rsidRPr="00EA26D9">
              <w:t>Rizikos grupė **</w:t>
            </w:r>
          </w:p>
        </w:tc>
        <w:tc>
          <w:tcPr>
            <w:tcW w:w="2298" w:type="dxa"/>
            <w:vMerge w:val="restart"/>
            <w:tcBorders>
              <w:top w:val="single" w:sz="4" w:space="0" w:color="auto"/>
              <w:left w:val="single" w:sz="4" w:space="0" w:color="auto"/>
              <w:bottom w:val="single" w:sz="4" w:space="0" w:color="auto"/>
              <w:right w:val="single" w:sz="4" w:space="0" w:color="000000"/>
            </w:tcBorders>
            <w:vAlign w:val="center"/>
            <w:hideMark/>
          </w:tcPr>
          <w:p w14:paraId="1E5467E8" w14:textId="77777777" w:rsidR="007931AE" w:rsidRPr="00EA26D9" w:rsidRDefault="007931AE">
            <w:pPr>
              <w:tabs>
                <w:tab w:val="left" w:pos="928"/>
              </w:tabs>
              <w:jc w:val="center"/>
            </w:pPr>
            <w:r w:rsidRPr="00EA26D9">
              <w:t xml:space="preserve">Tikrinimo metu bus pildomas kontrolinis klausimynas     </w:t>
            </w:r>
          </w:p>
          <w:p w14:paraId="2723018E" w14:textId="77777777" w:rsidR="007931AE" w:rsidRPr="00EA26D9" w:rsidRDefault="007931AE">
            <w:pPr>
              <w:tabs>
                <w:tab w:val="left" w:pos="928"/>
              </w:tabs>
              <w:jc w:val="center"/>
            </w:pPr>
            <w:r w:rsidRPr="00EA26D9">
              <w:t xml:space="preserve"> (Taip /</w:t>
            </w:r>
            <w:r w:rsidR="00990A9F" w:rsidRPr="00EA26D9">
              <w:t xml:space="preserve"> </w:t>
            </w:r>
            <w:r w:rsidRPr="00EA26D9">
              <w:t>Ne)</w:t>
            </w:r>
          </w:p>
        </w:tc>
      </w:tr>
      <w:tr w:rsidR="007931AE" w:rsidRPr="00EA26D9" w14:paraId="148184CD" w14:textId="77777777" w:rsidTr="007931AE">
        <w:trPr>
          <w:trHeight w:val="530"/>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556BD241" w14:textId="77777777" w:rsidR="007931AE" w:rsidRPr="00EA26D9" w:rsidRDefault="007931AE">
            <w:pPr>
              <w:rPr>
                <w:color w:val="000000"/>
                <w:sz w:val="22"/>
                <w:szCs w:val="22"/>
              </w:rPr>
            </w:pPr>
          </w:p>
        </w:tc>
        <w:tc>
          <w:tcPr>
            <w:tcW w:w="1369" w:type="dxa"/>
            <w:vMerge/>
            <w:tcBorders>
              <w:top w:val="single" w:sz="4" w:space="0" w:color="auto"/>
              <w:left w:val="nil"/>
              <w:bottom w:val="single" w:sz="4" w:space="0" w:color="auto"/>
              <w:right w:val="single" w:sz="4" w:space="0" w:color="auto"/>
            </w:tcBorders>
            <w:vAlign w:val="center"/>
            <w:hideMark/>
          </w:tcPr>
          <w:p w14:paraId="246DFCBA" w14:textId="77777777" w:rsidR="007931AE" w:rsidRPr="00EA26D9" w:rsidRDefault="007931AE">
            <w:pPr>
              <w:rPr>
                <w:color w:val="000000"/>
                <w:sz w:val="22"/>
                <w:szCs w:val="22"/>
              </w:rPr>
            </w:pPr>
          </w:p>
        </w:tc>
        <w:tc>
          <w:tcPr>
            <w:tcW w:w="3032" w:type="dxa"/>
            <w:tcBorders>
              <w:top w:val="nil"/>
              <w:left w:val="single" w:sz="4" w:space="0" w:color="auto"/>
              <w:bottom w:val="single" w:sz="4" w:space="0" w:color="auto"/>
              <w:right w:val="single" w:sz="4" w:space="0" w:color="auto"/>
            </w:tcBorders>
            <w:vAlign w:val="center"/>
            <w:hideMark/>
          </w:tcPr>
          <w:p w14:paraId="2A8541BD" w14:textId="77777777" w:rsidR="007931AE" w:rsidRPr="00EA26D9" w:rsidRDefault="00692605">
            <w:pPr>
              <w:jc w:val="center"/>
              <w:rPr>
                <w:color w:val="000000"/>
              </w:rPr>
            </w:pPr>
            <w:r w:rsidRPr="00EA26D9">
              <w:rPr>
                <w:color w:val="000000"/>
              </w:rPr>
              <w:t>V</w:t>
            </w:r>
            <w:r w:rsidR="007931AE" w:rsidRPr="00EA26D9">
              <w:rPr>
                <w:color w:val="000000"/>
              </w:rPr>
              <w:t>ardas ir pavardė</w:t>
            </w:r>
            <w:r w:rsidR="008A17AE">
              <w:rPr>
                <w:color w:val="000000"/>
              </w:rPr>
              <w:t xml:space="preserve"> </w:t>
            </w:r>
            <w:r w:rsidRPr="00EA26D9">
              <w:rPr>
                <w:color w:val="000000"/>
              </w:rPr>
              <w:t>/</w:t>
            </w:r>
            <w:r w:rsidR="0002586C" w:rsidRPr="00EA26D9">
              <w:rPr>
                <w:color w:val="000000"/>
              </w:rPr>
              <w:t xml:space="preserve"> </w:t>
            </w:r>
            <w:r w:rsidR="008A17AE">
              <w:rPr>
                <w:color w:val="000000"/>
              </w:rPr>
              <w:t>p</w:t>
            </w:r>
            <w:r w:rsidR="0002586C" w:rsidRPr="00EA26D9">
              <w:rPr>
                <w:color w:val="000000"/>
              </w:rPr>
              <w:t>avadinimas</w:t>
            </w:r>
          </w:p>
        </w:tc>
        <w:tc>
          <w:tcPr>
            <w:tcW w:w="3060" w:type="dxa"/>
            <w:tcBorders>
              <w:top w:val="nil"/>
              <w:left w:val="nil"/>
              <w:bottom w:val="single" w:sz="4" w:space="0" w:color="auto"/>
              <w:right w:val="single" w:sz="4" w:space="0" w:color="auto"/>
            </w:tcBorders>
            <w:noWrap/>
            <w:vAlign w:val="center"/>
            <w:hideMark/>
          </w:tcPr>
          <w:p w14:paraId="5537C527" w14:textId="77777777" w:rsidR="007931AE" w:rsidRPr="00EA26D9" w:rsidRDefault="007931AE">
            <w:pPr>
              <w:jc w:val="center"/>
              <w:rPr>
                <w:color w:val="000000"/>
              </w:rPr>
            </w:pPr>
            <w:r w:rsidRPr="00EA26D9">
              <w:rPr>
                <w:color w:val="000000"/>
              </w:rPr>
              <w:t>Adresas</w:t>
            </w:r>
          </w:p>
        </w:tc>
        <w:tc>
          <w:tcPr>
            <w:tcW w:w="1980" w:type="dxa"/>
            <w:vMerge/>
            <w:tcBorders>
              <w:top w:val="single" w:sz="4" w:space="0" w:color="auto"/>
              <w:left w:val="nil"/>
              <w:bottom w:val="single" w:sz="4" w:space="0" w:color="auto"/>
              <w:right w:val="nil"/>
            </w:tcBorders>
            <w:vAlign w:val="center"/>
            <w:hideMark/>
          </w:tcPr>
          <w:p w14:paraId="57934CAC" w14:textId="77777777" w:rsidR="007931AE" w:rsidRPr="00EA26D9" w:rsidRDefault="007931AE">
            <w:pPr>
              <w:rPr>
                <w:sz w:val="22"/>
                <w:szCs w:val="22"/>
              </w:rPr>
            </w:pPr>
          </w:p>
        </w:tc>
        <w:tc>
          <w:tcPr>
            <w:tcW w:w="1530" w:type="dxa"/>
            <w:vMerge/>
            <w:tcBorders>
              <w:top w:val="single" w:sz="4" w:space="0" w:color="auto"/>
              <w:left w:val="single" w:sz="4" w:space="0" w:color="auto"/>
              <w:bottom w:val="single" w:sz="4" w:space="0" w:color="auto"/>
              <w:right w:val="single" w:sz="4" w:space="0" w:color="000000"/>
            </w:tcBorders>
            <w:vAlign w:val="center"/>
            <w:hideMark/>
          </w:tcPr>
          <w:p w14:paraId="48F144B7" w14:textId="77777777" w:rsidR="007931AE" w:rsidRPr="00EA26D9" w:rsidRDefault="007931AE">
            <w:pPr>
              <w:rPr>
                <w:sz w:val="22"/>
                <w:szCs w:val="22"/>
              </w:rPr>
            </w:pPr>
          </w:p>
        </w:tc>
        <w:tc>
          <w:tcPr>
            <w:tcW w:w="2298" w:type="dxa"/>
            <w:vMerge/>
            <w:tcBorders>
              <w:top w:val="single" w:sz="4" w:space="0" w:color="auto"/>
              <w:left w:val="single" w:sz="4" w:space="0" w:color="auto"/>
              <w:bottom w:val="single" w:sz="4" w:space="0" w:color="auto"/>
              <w:right w:val="single" w:sz="4" w:space="0" w:color="000000"/>
            </w:tcBorders>
            <w:vAlign w:val="center"/>
            <w:hideMark/>
          </w:tcPr>
          <w:p w14:paraId="6AE5FF56" w14:textId="77777777" w:rsidR="007931AE" w:rsidRPr="00EA26D9" w:rsidRDefault="007931AE">
            <w:pPr>
              <w:rPr>
                <w:sz w:val="22"/>
                <w:szCs w:val="22"/>
              </w:rPr>
            </w:pPr>
          </w:p>
        </w:tc>
      </w:tr>
      <w:tr w:rsidR="007931AE" w:rsidRPr="00EA26D9" w14:paraId="5BA66F7D" w14:textId="77777777" w:rsidTr="007931AE">
        <w:trPr>
          <w:trHeight w:val="300"/>
        </w:trPr>
        <w:tc>
          <w:tcPr>
            <w:tcW w:w="631" w:type="dxa"/>
            <w:tcBorders>
              <w:top w:val="single" w:sz="4" w:space="0" w:color="auto"/>
              <w:left w:val="single" w:sz="4" w:space="0" w:color="auto"/>
              <w:bottom w:val="single" w:sz="4" w:space="0" w:color="auto"/>
              <w:right w:val="single" w:sz="4" w:space="0" w:color="auto"/>
            </w:tcBorders>
            <w:noWrap/>
            <w:hideMark/>
          </w:tcPr>
          <w:p w14:paraId="47D05801" w14:textId="77777777" w:rsidR="007931AE" w:rsidRPr="00EA26D9" w:rsidRDefault="007931AE" w:rsidP="00A73B5F">
            <w:pPr>
              <w:jc w:val="center"/>
              <w:rPr>
                <w:color w:val="000000"/>
              </w:rPr>
            </w:pPr>
            <w:r w:rsidRPr="00EA26D9">
              <w:rPr>
                <w:color w:val="000000"/>
              </w:rPr>
              <w:t>1</w:t>
            </w:r>
          </w:p>
        </w:tc>
        <w:tc>
          <w:tcPr>
            <w:tcW w:w="1369" w:type="dxa"/>
            <w:tcBorders>
              <w:top w:val="single" w:sz="4" w:space="0" w:color="auto"/>
              <w:left w:val="nil"/>
              <w:bottom w:val="single" w:sz="4" w:space="0" w:color="auto"/>
              <w:right w:val="nil"/>
            </w:tcBorders>
            <w:noWrap/>
            <w:hideMark/>
          </w:tcPr>
          <w:p w14:paraId="1ECD0CA9" w14:textId="77777777" w:rsidR="007931AE" w:rsidRPr="00EA26D9" w:rsidRDefault="007931AE">
            <w:pPr>
              <w:jc w:val="center"/>
              <w:rPr>
                <w:color w:val="000000"/>
              </w:rPr>
            </w:pPr>
            <w:r w:rsidRPr="00EA26D9">
              <w:rPr>
                <w:color w:val="000000"/>
              </w:rPr>
              <w:t>2</w:t>
            </w:r>
          </w:p>
        </w:tc>
        <w:tc>
          <w:tcPr>
            <w:tcW w:w="3032" w:type="dxa"/>
            <w:tcBorders>
              <w:top w:val="single" w:sz="4" w:space="0" w:color="auto"/>
              <w:left w:val="single" w:sz="4" w:space="0" w:color="auto"/>
              <w:bottom w:val="single" w:sz="4" w:space="0" w:color="auto"/>
              <w:right w:val="single" w:sz="4" w:space="0" w:color="auto"/>
            </w:tcBorders>
            <w:vAlign w:val="center"/>
            <w:hideMark/>
          </w:tcPr>
          <w:p w14:paraId="3B6B7142" w14:textId="77777777" w:rsidR="007931AE" w:rsidRPr="00EA26D9" w:rsidRDefault="007931AE">
            <w:pPr>
              <w:jc w:val="center"/>
              <w:rPr>
                <w:color w:val="000000"/>
              </w:rPr>
            </w:pPr>
            <w:r w:rsidRPr="00EA26D9">
              <w:rPr>
                <w:color w:val="000000"/>
              </w:rPr>
              <w:t>3</w:t>
            </w:r>
          </w:p>
        </w:tc>
        <w:tc>
          <w:tcPr>
            <w:tcW w:w="3060" w:type="dxa"/>
            <w:tcBorders>
              <w:top w:val="single" w:sz="4" w:space="0" w:color="auto"/>
              <w:left w:val="nil"/>
              <w:bottom w:val="single" w:sz="4" w:space="0" w:color="auto"/>
              <w:right w:val="single" w:sz="4" w:space="0" w:color="auto"/>
            </w:tcBorders>
            <w:noWrap/>
            <w:vAlign w:val="center"/>
            <w:hideMark/>
          </w:tcPr>
          <w:p w14:paraId="23E4BDDB" w14:textId="77777777" w:rsidR="007931AE" w:rsidRPr="00EA26D9" w:rsidRDefault="007931AE">
            <w:pPr>
              <w:jc w:val="center"/>
              <w:rPr>
                <w:color w:val="000000"/>
              </w:rPr>
            </w:pPr>
            <w:r w:rsidRPr="00EA26D9">
              <w:rPr>
                <w:color w:val="000000"/>
              </w:rPr>
              <w:t>4</w:t>
            </w:r>
          </w:p>
        </w:tc>
        <w:tc>
          <w:tcPr>
            <w:tcW w:w="1980" w:type="dxa"/>
            <w:tcBorders>
              <w:top w:val="single" w:sz="4" w:space="0" w:color="auto"/>
              <w:left w:val="nil"/>
              <w:bottom w:val="single" w:sz="4" w:space="0" w:color="auto"/>
              <w:right w:val="nil"/>
            </w:tcBorders>
            <w:noWrap/>
            <w:hideMark/>
          </w:tcPr>
          <w:p w14:paraId="19543BF9" w14:textId="77777777" w:rsidR="007931AE" w:rsidRPr="00EA26D9" w:rsidRDefault="007931AE">
            <w:pPr>
              <w:spacing w:line="240" w:lineRule="atLeast"/>
              <w:jc w:val="center"/>
            </w:pPr>
            <w:r w:rsidRPr="00EA26D9">
              <w:t>5</w:t>
            </w:r>
          </w:p>
        </w:tc>
        <w:tc>
          <w:tcPr>
            <w:tcW w:w="1530" w:type="dxa"/>
            <w:tcBorders>
              <w:top w:val="single" w:sz="4" w:space="0" w:color="auto"/>
              <w:left w:val="single" w:sz="4" w:space="0" w:color="auto"/>
              <w:bottom w:val="single" w:sz="4" w:space="0" w:color="auto"/>
              <w:right w:val="single" w:sz="4" w:space="0" w:color="000000"/>
            </w:tcBorders>
            <w:noWrap/>
            <w:hideMark/>
          </w:tcPr>
          <w:p w14:paraId="4F8D88E3" w14:textId="77777777" w:rsidR="007931AE" w:rsidRPr="00EA26D9" w:rsidRDefault="007931AE">
            <w:pPr>
              <w:tabs>
                <w:tab w:val="left" w:pos="924"/>
              </w:tabs>
              <w:jc w:val="center"/>
            </w:pPr>
            <w:r w:rsidRPr="00EA26D9">
              <w:t>6</w:t>
            </w:r>
          </w:p>
        </w:tc>
        <w:tc>
          <w:tcPr>
            <w:tcW w:w="2298" w:type="dxa"/>
            <w:tcBorders>
              <w:top w:val="single" w:sz="4" w:space="0" w:color="auto"/>
              <w:left w:val="single" w:sz="4" w:space="0" w:color="auto"/>
              <w:bottom w:val="single" w:sz="4" w:space="0" w:color="auto"/>
              <w:right w:val="single" w:sz="4" w:space="0" w:color="000000"/>
            </w:tcBorders>
            <w:hideMark/>
          </w:tcPr>
          <w:p w14:paraId="03C9469C" w14:textId="77777777" w:rsidR="007931AE" w:rsidRPr="00EA26D9" w:rsidRDefault="007931AE">
            <w:pPr>
              <w:tabs>
                <w:tab w:val="left" w:pos="928"/>
              </w:tabs>
              <w:jc w:val="center"/>
            </w:pPr>
            <w:r w:rsidRPr="00EA26D9">
              <w:t>7</w:t>
            </w:r>
          </w:p>
        </w:tc>
      </w:tr>
      <w:tr w:rsidR="007931AE" w:rsidRPr="00EA26D9" w14:paraId="366D2AAA" w14:textId="77777777" w:rsidTr="007931AE">
        <w:trPr>
          <w:trHeight w:val="300"/>
        </w:trPr>
        <w:tc>
          <w:tcPr>
            <w:tcW w:w="631" w:type="dxa"/>
            <w:tcBorders>
              <w:top w:val="single" w:sz="4" w:space="0" w:color="auto"/>
              <w:left w:val="single" w:sz="4" w:space="0" w:color="auto"/>
              <w:bottom w:val="single" w:sz="4" w:space="0" w:color="auto"/>
              <w:right w:val="single" w:sz="4" w:space="0" w:color="auto"/>
            </w:tcBorders>
            <w:noWrap/>
          </w:tcPr>
          <w:p w14:paraId="1B0FFDAE" w14:textId="77777777" w:rsidR="007931AE" w:rsidRPr="00EA26D9" w:rsidRDefault="007931AE">
            <w:pPr>
              <w:rPr>
                <w:color w:val="000000"/>
              </w:rPr>
            </w:pPr>
          </w:p>
        </w:tc>
        <w:tc>
          <w:tcPr>
            <w:tcW w:w="1369" w:type="dxa"/>
            <w:tcBorders>
              <w:top w:val="single" w:sz="4" w:space="0" w:color="auto"/>
              <w:left w:val="nil"/>
              <w:bottom w:val="single" w:sz="4" w:space="0" w:color="auto"/>
              <w:right w:val="nil"/>
            </w:tcBorders>
            <w:noWrap/>
          </w:tcPr>
          <w:p w14:paraId="4F83CBEF" w14:textId="77777777" w:rsidR="007931AE" w:rsidRPr="00EA26D9" w:rsidRDefault="007931AE">
            <w:pPr>
              <w:jc w:val="center"/>
              <w:rPr>
                <w:color w:val="000000"/>
              </w:rPr>
            </w:pPr>
          </w:p>
        </w:tc>
        <w:tc>
          <w:tcPr>
            <w:tcW w:w="3032" w:type="dxa"/>
            <w:tcBorders>
              <w:top w:val="single" w:sz="4" w:space="0" w:color="auto"/>
              <w:left w:val="single" w:sz="4" w:space="0" w:color="auto"/>
              <w:bottom w:val="single" w:sz="4" w:space="0" w:color="auto"/>
              <w:right w:val="single" w:sz="4" w:space="0" w:color="auto"/>
            </w:tcBorders>
            <w:vAlign w:val="center"/>
          </w:tcPr>
          <w:p w14:paraId="0E3373DB" w14:textId="77777777" w:rsidR="007931AE" w:rsidRPr="00EA26D9" w:rsidRDefault="007931AE">
            <w:pPr>
              <w:jc w:val="center"/>
              <w:rPr>
                <w:color w:val="000000"/>
              </w:rPr>
            </w:pPr>
          </w:p>
        </w:tc>
        <w:tc>
          <w:tcPr>
            <w:tcW w:w="3060" w:type="dxa"/>
            <w:tcBorders>
              <w:top w:val="single" w:sz="4" w:space="0" w:color="auto"/>
              <w:left w:val="nil"/>
              <w:bottom w:val="single" w:sz="4" w:space="0" w:color="auto"/>
              <w:right w:val="single" w:sz="4" w:space="0" w:color="auto"/>
            </w:tcBorders>
            <w:noWrap/>
            <w:vAlign w:val="center"/>
          </w:tcPr>
          <w:p w14:paraId="66F05ED7" w14:textId="77777777" w:rsidR="007931AE" w:rsidRPr="00EA26D9" w:rsidRDefault="007931AE">
            <w:pPr>
              <w:jc w:val="center"/>
              <w:rPr>
                <w:color w:val="000000"/>
              </w:rPr>
            </w:pPr>
          </w:p>
        </w:tc>
        <w:tc>
          <w:tcPr>
            <w:tcW w:w="1980" w:type="dxa"/>
            <w:tcBorders>
              <w:top w:val="single" w:sz="4" w:space="0" w:color="auto"/>
              <w:left w:val="nil"/>
              <w:bottom w:val="single" w:sz="4" w:space="0" w:color="auto"/>
              <w:right w:val="nil"/>
            </w:tcBorders>
            <w:noWrap/>
          </w:tcPr>
          <w:p w14:paraId="2E73467B" w14:textId="77777777" w:rsidR="007931AE" w:rsidRPr="00EA26D9" w:rsidRDefault="007931AE">
            <w:pPr>
              <w:spacing w:line="240" w:lineRule="atLeast"/>
              <w:jc w:val="center"/>
            </w:pPr>
          </w:p>
        </w:tc>
        <w:tc>
          <w:tcPr>
            <w:tcW w:w="1530" w:type="dxa"/>
            <w:tcBorders>
              <w:top w:val="single" w:sz="4" w:space="0" w:color="auto"/>
              <w:left w:val="single" w:sz="4" w:space="0" w:color="auto"/>
              <w:bottom w:val="single" w:sz="4" w:space="0" w:color="auto"/>
              <w:right w:val="single" w:sz="4" w:space="0" w:color="000000"/>
            </w:tcBorders>
            <w:noWrap/>
          </w:tcPr>
          <w:p w14:paraId="1763B780" w14:textId="77777777" w:rsidR="007931AE" w:rsidRPr="00EA26D9" w:rsidRDefault="007931AE">
            <w:pPr>
              <w:jc w:val="center"/>
            </w:pPr>
          </w:p>
        </w:tc>
        <w:tc>
          <w:tcPr>
            <w:tcW w:w="2298" w:type="dxa"/>
            <w:tcBorders>
              <w:top w:val="single" w:sz="4" w:space="0" w:color="auto"/>
              <w:left w:val="single" w:sz="4" w:space="0" w:color="auto"/>
              <w:bottom w:val="single" w:sz="4" w:space="0" w:color="auto"/>
              <w:right w:val="single" w:sz="4" w:space="0" w:color="000000"/>
            </w:tcBorders>
          </w:tcPr>
          <w:p w14:paraId="678362AB" w14:textId="77777777" w:rsidR="007931AE" w:rsidRPr="00EA26D9" w:rsidRDefault="007931AE">
            <w:pPr>
              <w:jc w:val="center"/>
            </w:pPr>
          </w:p>
        </w:tc>
      </w:tr>
      <w:tr w:rsidR="008922F2" w:rsidRPr="00EA26D9" w14:paraId="2A0B2827" w14:textId="77777777" w:rsidTr="007931AE">
        <w:trPr>
          <w:trHeight w:val="300"/>
        </w:trPr>
        <w:tc>
          <w:tcPr>
            <w:tcW w:w="631" w:type="dxa"/>
            <w:tcBorders>
              <w:top w:val="single" w:sz="4" w:space="0" w:color="auto"/>
              <w:left w:val="single" w:sz="4" w:space="0" w:color="auto"/>
              <w:bottom w:val="single" w:sz="4" w:space="0" w:color="auto"/>
              <w:right w:val="single" w:sz="4" w:space="0" w:color="auto"/>
            </w:tcBorders>
            <w:noWrap/>
          </w:tcPr>
          <w:p w14:paraId="150A8EDB" w14:textId="77777777" w:rsidR="008922F2" w:rsidRPr="00EA26D9" w:rsidRDefault="008922F2">
            <w:pPr>
              <w:rPr>
                <w:color w:val="000000"/>
              </w:rPr>
            </w:pPr>
          </w:p>
        </w:tc>
        <w:tc>
          <w:tcPr>
            <w:tcW w:w="1369" w:type="dxa"/>
            <w:tcBorders>
              <w:top w:val="single" w:sz="4" w:space="0" w:color="auto"/>
              <w:left w:val="nil"/>
              <w:bottom w:val="single" w:sz="4" w:space="0" w:color="auto"/>
              <w:right w:val="nil"/>
            </w:tcBorders>
            <w:noWrap/>
          </w:tcPr>
          <w:p w14:paraId="51172BE4" w14:textId="77777777" w:rsidR="008922F2" w:rsidRPr="00EA26D9" w:rsidRDefault="008922F2">
            <w:pPr>
              <w:jc w:val="center"/>
              <w:rPr>
                <w:color w:val="000000"/>
              </w:rPr>
            </w:pPr>
          </w:p>
        </w:tc>
        <w:tc>
          <w:tcPr>
            <w:tcW w:w="3032" w:type="dxa"/>
            <w:tcBorders>
              <w:top w:val="single" w:sz="4" w:space="0" w:color="auto"/>
              <w:left w:val="single" w:sz="4" w:space="0" w:color="auto"/>
              <w:bottom w:val="single" w:sz="4" w:space="0" w:color="auto"/>
              <w:right w:val="single" w:sz="4" w:space="0" w:color="auto"/>
            </w:tcBorders>
            <w:vAlign w:val="center"/>
          </w:tcPr>
          <w:p w14:paraId="00FBBCD9" w14:textId="77777777" w:rsidR="008922F2" w:rsidRPr="00EA26D9" w:rsidRDefault="008922F2">
            <w:pPr>
              <w:jc w:val="center"/>
              <w:rPr>
                <w:color w:val="000000"/>
              </w:rPr>
            </w:pPr>
          </w:p>
        </w:tc>
        <w:tc>
          <w:tcPr>
            <w:tcW w:w="3060" w:type="dxa"/>
            <w:tcBorders>
              <w:top w:val="single" w:sz="4" w:space="0" w:color="auto"/>
              <w:left w:val="nil"/>
              <w:bottom w:val="single" w:sz="4" w:space="0" w:color="auto"/>
              <w:right w:val="single" w:sz="4" w:space="0" w:color="auto"/>
            </w:tcBorders>
            <w:noWrap/>
            <w:vAlign w:val="center"/>
          </w:tcPr>
          <w:p w14:paraId="54887D57" w14:textId="77777777" w:rsidR="008922F2" w:rsidRPr="00EA26D9" w:rsidRDefault="008922F2">
            <w:pPr>
              <w:jc w:val="center"/>
              <w:rPr>
                <w:color w:val="000000"/>
              </w:rPr>
            </w:pPr>
          </w:p>
        </w:tc>
        <w:tc>
          <w:tcPr>
            <w:tcW w:w="1980" w:type="dxa"/>
            <w:tcBorders>
              <w:top w:val="single" w:sz="4" w:space="0" w:color="auto"/>
              <w:left w:val="nil"/>
              <w:bottom w:val="single" w:sz="4" w:space="0" w:color="auto"/>
              <w:right w:val="nil"/>
            </w:tcBorders>
            <w:noWrap/>
          </w:tcPr>
          <w:p w14:paraId="133D4867" w14:textId="77777777" w:rsidR="008922F2" w:rsidRPr="00EA26D9" w:rsidRDefault="008922F2">
            <w:pPr>
              <w:spacing w:line="240" w:lineRule="atLeast"/>
              <w:jc w:val="center"/>
            </w:pPr>
          </w:p>
        </w:tc>
        <w:tc>
          <w:tcPr>
            <w:tcW w:w="1530" w:type="dxa"/>
            <w:tcBorders>
              <w:top w:val="single" w:sz="4" w:space="0" w:color="auto"/>
              <w:left w:val="single" w:sz="4" w:space="0" w:color="auto"/>
              <w:bottom w:val="single" w:sz="4" w:space="0" w:color="auto"/>
              <w:right w:val="single" w:sz="4" w:space="0" w:color="000000"/>
            </w:tcBorders>
            <w:noWrap/>
          </w:tcPr>
          <w:p w14:paraId="310F5589" w14:textId="77777777" w:rsidR="008922F2" w:rsidRPr="00EA26D9" w:rsidRDefault="008922F2">
            <w:pPr>
              <w:jc w:val="center"/>
            </w:pPr>
          </w:p>
        </w:tc>
        <w:tc>
          <w:tcPr>
            <w:tcW w:w="2298" w:type="dxa"/>
            <w:tcBorders>
              <w:top w:val="single" w:sz="4" w:space="0" w:color="auto"/>
              <w:left w:val="single" w:sz="4" w:space="0" w:color="auto"/>
              <w:bottom w:val="single" w:sz="4" w:space="0" w:color="auto"/>
              <w:right w:val="single" w:sz="4" w:space="0" w:color="000000"/>
            </w:tcBorders>
          </w:tcPr>
          <w:p w14:paraId="34513280" w14:textId="77777777" w:rsidR="008922F2" w:rsidRPr="00EA26D9" w:rsidRDefault="008922F2">
            <w:pPr>
              <w:jc w:val="center"/>
            </w:pPr>
          </w:p>
        </w:tc>
      </w:tr>
      <w:tr w:rsidR="008922F2" w:rsidRPr="00EA26D9" w14:paraId="6973C0A2" w14:textId="77777777" w:rsidTr="007931AE">
        <w:trPr>
          <w:trHeight w:val="300"/>
        </w:trPr>
        <w:tc>
          <w:tcPr>
            <w:tcW w:w="631" w:type="dxa"/>
            <w:tcBorders>
              <w:top w:val="single" w:sz="4" w:space="0" w:color="auto"/>
              <w:left w:val="single" w:sz="4" w:space="0" w:color="auto"/>
              <w:bottom w:val="single" w:sz="4" w:space="0" w:color="auto"/>
              <w:right w:val="single" w:sz="4" w:space="0" w:color="auto"/>
            </w:tcBorders>
            <w:noWrap/>
          </w:tcPr>
          <w:p w14:paraId="091016DF" w14:textId="77777777" w:rsidR="008922F2" w:rsidRPr="00EA26D9" w:rsidRDefault="008922F2">
            <w:pPr>
              <w:rPr>
                <w:color w:val="000000"/>
              </w:rPr>
            </w:pPr>
          </w:p>
        </w:tc>
        <w:tc>
          <w:tcPr>
            <w:tcW w:w="1369" w:type="dxa"/>
            <w:tcBorders>
              <w:top w:val="single" w:sz="4" w:space="0" w:color="auto"/>
              <w:left w:val="nil"/>
              <w:bottom w:val="single" w:sz="4" w:space="0" w:color="auto"/>
              <w:right w:val="nil"/>
            </w:tcBorders>
            <w:noWrap/>
          </w:tcPr>
          <w:p w14:paraId="494A0D0D" w14:textId="77777777" w:rsidR="008922F2" w:rsidRPr="00EA26D9" w:rsidRDefault="008922F2">
            <w:pPr>
              <w:jc w:val="center"/>
              <w:rPr>
                <w:color w:val="000000"/>
              </w:rPr>
            </w:pPr>
          </w:p>
        </w:tc>
        <w:tc>
          <w:tcPr>
            <w:tcW w:w="3032" w:type="dxa"/>
            <w:tcBorders>
              <w:top w:val="single" w:sz="4" w:space="0" w:color="auto"/>
              <w:left w:val="single" w:sz="4" w:space="0" w:color="auto"/>
              <w:bottom w:val="single" w:sz="4" w:space="0" w:color="auto"/>
              <w:right w:val="single" w:sz="4" w:space="0" w:color="auto"/>
            </w:tcBorders>
            <w:vAlign w:val="center"/>
          </w:tcPr>
          <w:p w14:paraId="38E393B9" w14:textId="77777777" w:rsidR="008922F2" w:rsidRPr="00EA26D9" w:rsidRDefault="008922F2">
            <w:pPr>
              <w:jc w:val="center"/>
              <w:rPr>
                <w:color w:val="000000"/>
              </w:rPr>
            </w:pPr>
          </w:p>
        </w:tc>
        <w:tc>
          <w:tcPr>
            <w:tcW w:w="3060" w:type="dxa"/>
            <w:tcBorders>
              <w:top w:val="single" w:sz="4" w:space="0" w:color="auto"/>
              <w:left w:val="nil"/>
              <w:bottom w:val="single" w:sz="4" w:space="0" w:color="auto"/>
              <w:right w:val="single" w:sz="4" w:space="0" w:color="auto"/>
            </w:tcBorders>
            <w:noWrap/>
            <w:vAlign w:val="center"/>
          </w:tcPr>
          <w:p w14:paraId="0DA6FE8C" w14:textId="77777777" w:rsidR="008922F2" w:rsidRPr="00EA26D9" w:rsidRDefault="008922F2">
            <w:pPr>
              <w:jc w:val="center"/>
              <w:rPr>
                <w:color w:val="000000"/>
              </w:rPr>
            </w:pPr>
          </w:p>
        </w:tc>
        <w:tc>
          <w:tcPr>
            <w:tcW w:w="1980" w:type="dxa"/>
            <w:tcBorders>
              <w:top w:val="single" w:sz="4" w:space="0" w:color="auto"/>
              <w:left w:val="nil"/>
              <w:bottom w:val="single" w:sz="4" w:space="0" w:color="auto"/>
              <w:right w:val="nil"/>
            </w:tcBorders>
            <w:noWrap/>
          </w:tcPr>
          <w:p w14:paraId="5A7FE845" w14:textId="77777777" w:rsidR="008922F2" w:rsidRPr="00EA26D9" w:rsidRDefault="008922F2">
            <w:pPr>
              <w:spacing w:line="240" w:lineRule="atLeast"/>
              <w:jc w:val="center"/>
            </w:pPr>
          </w:p>
        </w:tc>
        <w:tc>
          <w:tcPr>
            <w:tcW w:w="1530" w:type="dxa"/>
            <w:tcBorders>
              <w:top w:val="single" w:sz="4" w:space="0" w:color="auto"/>
              <w:left w:val="single" w:sz="4" w:space="0" w:color="auto"/>
              <w:bottom w:val="single" w:sz="4" w:space="0" w:color="auto"/>
              <w:right w:val="single" w:sz="4" w:space="0" w:color="000000"/>
            </w:tcBorders>
            <w:noWrap/>
          </w:tcPr>
          <w:p w14:paraId="77FE8DBB" w14:textId="77777777" w:rsidR="008922F2" w:rsidRPr="00EA26D9" w:rsidRDefault="008922F2">
            <w:pPr>
              <w:jc w:val="center"/>
            </w:pPr>
          </w:p>
        </w:tc>
        <w:tc>
          <w:tcPr>
            <w:tcW w:w="2298" w:type="dxa"/>
            <w:tcBorders>
              <w:top w:val="single" w:sz="4" w:space="0" w:color="auto"/>
              <w:left w:val="single" w:sz="4" w:space="0" w:color="auto"/>
              <w:bottom w:val="single" w:sz="4" w:space="0" w:color="auto"/>
              <w:right w:val="single" w:sz="4" w:space="0" w:color="000000"/>
            </w:tcBorders>
          </w:tcPr>
          <w:p w14:paraId="7B9049FF" w14:textId="77777777" w:rsidR="008922F2" w:rsidRPr="00EA26D9" w:rsidRDefault="008922F2">
            <w:pPr>
              <w:jc w:val="center"/>
            </w:pPr>
          </w:p>
        </w:tc>
      </w:tr>
    </w:tbl>
    <w:p w14:paraId="18B1F094" w14:textId="77777777" w:rsidR="00D04E80" w:rsidRPr="00EA26D9" w:rsidRDefault="00D04E80" w:rsidP="00D04E80">
      <w:pPr>
        <w:jc w:val="both"/>
      </w:pPr>
    </w:p>
    <w:p w14:paraId="7D671C8D" w14:textId="77777777" w:rsidR="00FD35EE" w:rsidRPr="00671135" w:rsidRDefault="00FD35EE" w:rsidP="00FD35EE">
      <w:pPr>
        <w:jc w:val="both"/>
      </w:pPr>
      <w:r w:rsidRPr="00671135">
        <w:t xml:space="preserve">* FT – fitosanitarinis </w:t>
      </w:r>
      <w:r w:rsidR="00483404" w:rsidRPr="00671135">
        <w:t>pa</w:t>
      </w:r>
      <w:r w:rsidRPr="00671135">
        <w:t>tikrinimas; FS (NS) – nacionalinė fitosanitarinė stebėsena; FS (ES) – europinė fitosanitarinė stebėsena; MTVP – pripažintų tinkamomis laikyti augalus, augalinius produktus ir kitus objektus prekių saugojimo ir muitinio tikrinimo vietų patikra.</w:t>
      </w:r>
    </w:p>
    <w:p w14:paraId="77BF55AA" w14:textId="77777777" w:rsidR="00D04E80" w:rsidRPr="00000CA7" w:rsidRDefault="00D04E80" w:rsidP="00D04E80">
      <w:pPr>
        <w:jc w:val="both"/>
        <w:rPr>
          <w:sz w:val="20"/>
          <w:szCs w:val="20"/>
        </w:rPr>
      </w:pPr>
      <w:r w:rsidRPr="00671135">
        <w:t>** Ūkio subjektų rizikos grupės: I – mažos fitosanitarinės rizikos grupė; II – vidutinės fitosanitarinės rizikos grupė; III – didelės fitosanitarinės rizikos grupė.</w:t>
      </w:r>
      <w:r w:rsidRPr="00000CA7">
        <w:rPr>
          <w:sz w:val="20"/>
          <w:szCs w:val="20"/>
        </w:rPr>
        <w:t xml:space="preserve"> </w:t>
      </w:r>
    </w:p>
    <w:p w14:paraId="0246521F" w14:textId="77777777" w:rsidR="009677D7" w:rsidRPr="00671135" w:rsidRDefault="009677D7" w:rsidP="00671135">
      <w:pPr>
        <w:pStyle w:val="Sraopastraipa"/>
        <w:spacing w:after="0" w:line="240" w:lineRule="auto"/>
        <w:ind w:left="0"/>
        <w:jc w:val="both"/>
        <w:rPr>
          <w:rFonts w:ascii="Times New Roman" w:hAnsi="Times New Roman"/>
          <w:i/>
          <w:sz w:val="20"/>
          <w:szCs w:val="20"/>
        </w:rPr>
      </w:pPr>
      <w:r w:rsidRPr="00671135">
        <w:rPr>
          <w:rFonts w:ascii="Times New Roman" w:hAnsi="Times New Roman"/>
          <w:i/>
          <w:sz w:val="20"/>
          <w:szCs w:val="20"/>
        </w:rPr>
        <w:t>Pakeitimai:</w:t>
      </w:r>
    </w:p>
    <w:p w14:paraId="5EC9305F" w14:textId="77777777" w:rsidR="009677D7" w:rsidRPr="00B948DB" w:rsidRDefault="009677D7" w:rsidP="009677D7">
      <w:pPr>
        <w:pStyle w:val="Sraopastraipa"/>
        <w:spacing w:after="0" w:line="360" w:lineRule="auto"/>
        <w:ind w:left="0"/>
        <w:jc w:val="both"/>
        <w:rPr>
          <w:rFonts w:ascii="Times New Roman" w:hAnsi="Times New Roman"/>
          <w:i/>
        </w:rPr>
      </w:pPr>
      <w:r w:rsidRPr="00671135">
        <w:rPr>
          <w:rFonts w:ascii="Times New Roman" w:hAnsi="Times New Roman"/>
          <w:i/>
          <w:sz w:val="20"/>
          <w:szCs w:val="20"/>
        </w:rPr>
        <w:t>2021 m. lapkričio 30 d. įsakymas Nr. A1-705</w:t>
      </w:r>
    </w:p>
    <w:p w14:paraId="6751A6CC" w14:textId="77777777" w:rsidR="00CB4820" w:rsidRPr="00EA26D9" w:rsidRDefault="00CB4820" w:rsidP="003C4997">
      <w:pPr>
        <w:rPr>
          <w:strike/>
        </w:rPr>
      </w:pPr>
    </w:p>
    <w:p w14:paraId="4278BB5F" w14:textId="77777777" w:rsidR="00CB4820" w:rsidRPr="00EA26D9" w:rsidRDefault="00CB4820" w:rsidP="003C4997">
      <w:pPr>
        <w:rPr>
          <w:strike/>
        </w:rPr>
      </w:pPr>
    </w:p>
    <w:p w14:paraId="2CB90E7E" w14:textId="77777777" w:rsidR="00587C71" w:rsidRDefault="00E53AA8" w:rsidP="00D011ED">
      <w:pPr>
        <w:jc w:val="center"/>
      </w:pPr>
      <w:r w:rsidRPr="00EA26D9">
        <w:t>__________________________</w:t>
      </w:r>
    </w:p>
    <w:p w14:paraId="526DCF97" w14:textId="77777777" w:rsidR="009677D7" w:rsidRDefault="009677D7" w:rsidP="009677D7"/>
    <w:p w14:paraId="59C1A933" w14:textId="77777777" w:rsidR="009677D7" w:rsidRDefault="009677D7" w:rsidP="009677D7"/>
    <w:p w14:paraId="7584DF18" w14:textId="77777777" w:rsidR="008313DC" w:rsidRDefault="008313DC" w:rsidP="009677D7">
      <w:pPr>
        <w:sectPr w:rsidR="008313DC" w:rsidSect="00617B31">
          <w:type w:val="nextColumn"/>
          <w:pgSz w:w="16838" w:h="11906" w:orient="landscape"/>
          <w:pgMar w:top="1134" w:right="567" w:bottom="1134" w:left="1701" w:header="567" w:footer="567" w:gutter="0"/>
          <w:pgNumType w:start="1"/>
          <w:cols w:space="1296"/>
          <w:titlePg/>
          <w:docGrid w:linePitch="360"/>
        </w:sectPr>
      </w:pPr>
    </w:p>
    <w:p w14:paraId="056F8632" w14:textId="77777777" w:rsidR="009677D7" w:rsidRPr="009677D7" w:rsidRDefault="009677D7" w:rsidP="008313DC">
      <w:pPr>
        <w:jc w:val="both"/>
        <w:rPr>
          <w:i/>
        </w:rPr>
      </w:pPr>
      <w:r w:rsidRPr="009677D7">
        <w:rPr>
          <w:i/>
        </w:rPr>
        <w:t>Pakeitimai:</w:t>
      </w:r>
    </w:p>
    <w:p w14:paraId="227BE3FD" w14:textId="77777777" w:rsidR="009677D7" w:rsidRDefault="009677D7" w:rsidP="008313DC">
      <w:pPr>
        <w:numPr>
          <w:ilvl w:val="0"/>
          <w:numId w:val="11"/>
        </w:numPr>
        <w:ind w:left="0" w:firstLine="0"/>
        <w:jc w:val="both"/>
        <w:rPr>
          <w:i/>
        </w:rPr>
      </w:pPr>
      <w:r w:rsidRPr="009677D7">
        <w:rPr>
          <w:i/>
        </w:rPr>
        <w:t xml:space="preserve">Valstybinės augalininkystės tarnybos prie Žemės ūkio ministerijos direktoriaus </w:t>
      </w:r>
      <w:r w:rsidRPr="009677D7">
        <w:rPr>
          <w:rFonts w:eastAsia="Calibri"/>
          <w:i/>
        </w:rPr>
        <w:t xml:space="preserve">2021 m. </w:t>
      </w:r>
      <w:r w:rsidRPr="009677D7">
        <w:rPr>
          <w:i/>
        </w:rPr>
        <w:t>lapkričio</w:t>
      </w:r>
      <w:r w:rsidRPr="009677D7">
        <w:rPr>
          <w:rFonts w:eastAsia="Calibri"/>
          <w:i/>
        </w:rPr>
        <w:t xml:space="preserve"> </w:t>
      </w:r>
      <w:r w:rsidRPr="009677D7">
        <w:rPr>
          <w:i/>
        </w:rPr>
        <w:t>30</w:t>
      </w:r>
      <w:r w:rsidRPr="009677D7">
        <w:rPr>
          <w:rFonts w:eastAsia="Calibri"/>
          <w:i/>
        </w:rPr>
        <w:t xml:space="preserve"> d.</w:t>
      </w:r>
      <w:r w:rsidRPr="009677D7">
        <w:rPr>
          <w:i/>
        </w:rPr>
        <w:t xml:space="preserve"> įsakymas</w:t>
      </w:r>
      <w:r w:rsidRPr="009677D7">
        <w:t xml:space="preserve"> </w:t>
      </w:r>
      <w:r w:rsidRPr="009677D7">
        <w:rPr>
          <w:i/>
        </w:rPr>
        <w:t xml:space="preserve">Nr. A1-705 „Dėl </w:t>
      </w:r>
      <w:r w:rsidR="00671135">
        <w:rPr>
          <w:i/>
        </w:rPr>
        <w:t>V</w:t>
      </w:r>
      <w:r w:rsidRPr="009677D7">
        <w:rPr>
          <w:i/>
        </w:rPr>
        <w:t xml:space="preserve">alstybinės augalininkystės tarnybos prie </w:t>
      </w:r>
      <w:r w:rsidR="00671135">
        <w:rPr>
          <w:i/>
        </w:rPr>
        <w:t>Ž</w:t>
      </w:r>
      <w:r w:rsidRPr="009677D7">
        <w:rPr>
          <w:i/>
        </w:rPr>
        <w:t>emės ūkio min</w:t>
      </w:r>
      <w:r>
        <w:rPr>
          <w:i/>
        </w:rPr>
        <w:t>isterijos direktoriaus 2012 m. l</w:t>
      </w:r>
      <w:r w:rsidRPr="009677D7">
        <w:rPr>
          <w:i/>
        </w:rPr>
        <w:t xml:space="preserve">iepos 27 d. įsakymo </w:t>
      </w:r>
      <w:r>
        <w:rPr>
          <w:i/>
        </w:rPr>
        <w:t>N</w:t>
      </w:r>
      <w:r w:rsidRPr="009677D7">
        <w:rPr>
          <w:i/>
        </w:rPr>
        <w:t xml:space="preserve">r. A1-239 „Dėl </w:t>
      </w:r>
      <w:r w:rsidR="00671135">
        <w:rPr>
          <w:i/>
        </w:rPr>
        <w:t>Ū</w:t>
      </w:r>
      <w:r w:rsidRPr="009677D7">
        <w:rPr>
          <w:i/>
        </w:rPr>
        <w:t>kio subjektų veiklos ir objektų, kuriuose palankios sąlygos kenksmingiems organizmams plisti, rizikos vertinimo tvarkos aprašo patvirtinimo“ pakeitimo“</w:t>
      </w:r>
      <w:r w:rsidR="008313DC">
        <w:rPr>
          <w:i/>
        </w:rPr>
        <w:t>.</w:t>
      </w:r>
    </w:p>
    <w:p w14:paraId="1DE82AFF" w14:textId="326D5570" w:rsidR="00B460DD" w:rsidRPr="009677D7" w:rsidRDefault="00B460DD" w:rsidP="00B460DD">
      <w:pPr>
        <w:numPr>
          <w:ilvl w:val="0"/>
          <w:numId w:val="11"/>
        </w:numPr>
        <w:ind w:left="0" w:firstLine="0"/>
        <w:jc w:val="both"/>
        <w:rPr>
          <w:i/>
        </w:rPr>
      </w:pPr>
      <w:r w:rsidRPr="009677D7">
        <w:rPr>
          <w:i/>
        </w:rPr>
        <w:t xml:space="preserve">Valstybinės augalininkystės tarnybos prie Žemės ūkio ministerijos direktoriaus </w:t>
      </w:r>
      <w:r w:rsidRPr="009677D7">
        <w:rPr>
          <w:rFonts w:eastAsia="Calibri"/>
          <w:i/>
        </w:rPr>
        <w:t>202</w:t>
      </w:r>
      <w:r>
        <w:rPr>
          <w:rFonts w:eastAsia="Calibri"/>
          <w:i/>
        </w:rPr>
        <w:t>3</w:t>
      </w:r>
      <w:r w:rsidRPr="009677D7">
        <w:rPr>
          <w:rFonts w:eastAsia="Calibri"/>
          <w:i/>
        </w:rPr>
        <w:t xml:space="preserve"> m. </w:t>
      </w:r>
      <w:r>
        <w:rPr>
          <w:i/>
        </w:rPr>
        <w:t>spalio</w:t>
      </w:r>
      <w:r w:rsidRPr="009677D7">
        <w:rPr>
          <w:rFonts w:eastAsia="Calibri"/>
          <w:i/>
        </w:rPr>
        <w:t xml:space="preserve"> </w:t>
      </w:r>
      <w:r w:rsidRPr="009677D7">
        <w:rPr>
          <w:i/>
        </w:rPr>
        <w:t>3</w:t>
      </w:r>
      <w:r>
        <w:rPr>
          <w:i/>
        </w:rPr>
        <w:t>1</w:t>
      </w:r>
      <w:r w:rsidRPr="009677D7">
        <w:rPr>
          <w:rFonts w:eastAsia="Calibri"/>
          <w:i/>
        </w:rPr>
        <w:t xml:space="preserve"> d.</w:t>
      </w:r>
      <w:r w:rsidRPr="009677D7">
        <w:rPr>
          <w:i/>
        </w:rPr>
        <w:t xml:space="preserve"> įsakymas</w:t>
      </w:r>
      <w:r w:rsidRPr="009677D7">
        <w:t xml:space="preserve"> </w:t>
      </w:r>
      <w:r w:rsidRPr="009677D7">
        <w:rPr>
          <w:i/>
        </w:rPr>
        <w:t>Nr. A1-</w:t>
      </w:r>
      <w:r>
        <w:rPr>
          <w:i/>
        </w:rPr>
        <w:t>646</w:t>
      </w:r>
      <w:r w:rsidRPr="009677D7">
        <w:rPr>
          <w:i/>
        </w:rPr>
        <w:t xml:space="preserve"> „Dėl </w:t>
      </w:r>
      <w:r>
        <w:rPr>
          <w:i/>
        </w:rPr>
        <w:t>V</w:t>
      </w:r>
      <w:r w:rsidRPr="009677D7">
        <w:rPr>
          <w:i/>
        </w:rPr>
        <w:t xml:space="preserve">alstybinės augalininkystės tarnybos prie </w:t>
      </w:r>
      <w:r>
        <w:rPr>
          <w:i/>
        </w:rPr>
        <w:t>Ž</w:t>
      </w:r>
      <w:r w:rsidRPr="009677D7">
        <w:rPr>
          <w:i/>
        </w:rPr>
        <w:t>emės ūkio min</w:t>
      </w:r>
      <w:r>
        <w:rPr>
          <w:i/>
        </w:rPr>
        <w:t>isterijos direktoriaus 2012 m. l</w:t>
      </w:r>
      <w:r w:rsidRPr="009677D7">
        <w:rPr>
          <w:i/>
        </w:rPr>
        <w:t xml:space="preserve">iepos 27 d. įsakymo </w:t>
      </w:r>
      <w:r>
        <w:rPr>
          <w:i/>
        </w:rPr>
        <w:t>N</w:t>
      </w:r>
      <w:r w:rsidRPr="009677D7">
        <w:rPr>
          <w:i/>
        </w:rPr>
        <w:t xml:space="preserve">r. A1-239 „Dėl </w:t>
      </w:r>
      <w:r>
        <w:rPr>
          <w:i/>
        </w:rPr>
        <w:t>Ū</w:t>
      </w:r>
      <w:r w:rsidRPr="009677D7">
        <w:rPr>
          <w:i/>
        </w:rPr>
        <w:t>kio subjektų veiklos ir objektų, kuriuose palankios sąlygos kenksmingiems organizmams plisti, rizikos vertinimo tvarkos aprašo patvirtinimo“ pakeitimo“</w:t>
      </w:r>
      <w:r>
        <w:rPr>
          <w:i/>
        </w:rPr>
        <w:t>.</w:t>
      </w:r>
    </w:p>
    <w:p w14:paraId="19A35EEF" w14:textId="77777777" w:rsidR="00B460DD" w:rsidRPr="009677D7" w:rsidRDefault="00B460DD" w:rsidP="00B460DD">
      <w:pPr>
        <w:jc w:val="both"/>
        <w:rPr>
          <w:i/>
        </w:rPr>
      </w:pPr>
    </w:p>
    <w:sectPr w:rsidR="00B460DD" w:rsidRPr="009677D7" w:rsidSect="008313DC">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F22D" w14:textId="77777777" w:rsidR="00CB4648" w:rsidRDefault="00CB4648">
      <w:r>
        <w:separator/>
      </w:r>
    </w:p>
  </w:endnote>
  <w:endnote w:type="continuationSeparator" w:id="0">
    <w:p w14:paraId="4BD2B960" w14:textId="77777777" w:rsidR="00CB4648" w:rsidRDefault="00CB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3F12" w14:textId="77777777" w:rsidR="00360F7A" w:rsidRDefault="00360F7A">
    <w:pPr>
      <w:pStyle w:val="Porat"/>
    </w:pPr>
  </w:p>
  <w:p w14:paraId="23995A66" w14:textId="77777777" w:rsidR="00A91260" w:rsidRDefault="00A91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2001" w14:textId="77777777" w:rsidR="00360F7A" w:rsidRDefault="00360F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924B" w14:textId="77777777" w:rsidR="00CB4648" w:rsidRDefault="00CB4648">
      <w:r>
        <w:separator/>
      </w:r>
    </w:p>
  </w:footnote>
  <w:footnote w:type="continuationSeparator" w:id="0">
    <w:p w14:paraId="54E402C1" w14:textId="77777777" w:rsidR="00CB4648" w:rsidRDefault="00CB4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208533"/>
      <w:docPartObj>
        <w:docPartGallery w:val="Page Numbers (Top of Page)"/>
        <w:docPartUnique/>
      </w:docPartObj>
    </w:sdtPr>
    <w:sdtEndPr>
      <w:rPr>
        <w:noProof/>
      </w:rPr>
    </w:sdtEndPr>
    <w:sdtContent>
      <w:p w14:paraId="461B08C0" w14:textId="77777777" w:rsidR="00081804" w:rsidRPr="00617B31" w:rsidRDefault="00617B31" w:rsidP="00617B31">
        <w:pPr>
          <w:pStyle w:val="Antrats"/>
          <w:jc w:val="center"/>
        </w:pPr>
        <w:r>
          <w:fldChar w:fldCharType="begin"/>
        </w:r>
        <w:r>
          <w:instrText xml:space="preserve"> PAGE   \* MERGEFORMAT </w:instrText>
        </w:r>
        <w:r>
          <w:fldChar w:fldCharType="separate"/>
        </w:r>
        <w:r w:rsidR="003F25E9">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875661"/>
      <w:docPartObj>
        <w:docPartGallery w:val="Page Numbers (Top of Page)"/>
        <w:docPartUnique/>
      </w:docPartObj>
    </w:sdtPr>
    <w:sdtEndPr>
      <w:rPr>
        <w:noProof/>
      </w:rPr>
    </w:sdtEndPr>
    <w:sdtContent>
      <w:p w14:paraId="214AC305" w14:textId="77777777" w:rsidR="00081804" w:rsidRPr="00617B31" w:rsidRDefault="00617B31" w:rsidP="00617B31">
        <w:pPr>
          <w:pStyle w:val="Antrats"/>
          <w:jc w:val="center"/>
        </w:pPr>
        <w:r>
          <w:fldChar w:fldCharType="begin"/>
        </w:r>
        <w:r>
          <w:instrText xml:space="preserve"> PAGE   \* MERGEFORMAT </w:instrText>
        </w:r>
        <w:r>
          <w:fldChar w:fldCharType="separate"/>
        </w:r>
        <w:r w:rsidR="003F25E9">
          <w:rPr>
            <w:noProof/>
          </w:rPr>
          <w:t>5</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4032"/>
      <w:docPartObj>
        <w:docPartGallery w:val="Page Numbers (Top of Page)"/>
        <w:docPartUnique/>
      </w:docPartObj>
    </w:sdtPr>
    <w:sdtEndPr>
      <w:rPr>
        <w:noProof/>
        <w:color w:val="FFFFFF"/>
      </w:rPr>
    </w:sdtEndPr>
    <w:sdtContent>
      <w:p w14:paraId="4086131E" w14:textId="77777777" w:rsidR="00081804" w:rsidRPr="00486482" w:rsidRDefault="00617B31" w:rsidP="00617B31">
        <w:pPr>
          <w:pStyle w:val="Antrats"/>
          <w:jc w:val="center"/>
        </w:pPr>
        <w:r w:rsidRPr="00361B44">
          <w:rPr>
            <w:color w:val="FFFFFF"/>
          </w:rPr>
          <w:fldChar w:fldCharType="begin"/>
        </w:r>
        <w:r w:rsidRPr="00361B44">
          <w:rPr>
            <w:color w:val="FFFFFF"/>
          </w:rPr>
          <w:instrText xml:space="preserve"> PAGE  \* Arabic  \* MERGEFORMAT </w:instrText>
        </w:r>
        <w:r w:rsidRPr="00361B44">
          <w:rPr>
            <w:color w:val="FFFFFF"/>
          </w:rPr>
          <w:fldChar w:fldCharType="separate"/>
        </w:r>
        <w:r w:rsidR="003F25E9">
          <w:rPr>
            <w:noProof/>
            <w:color w:val="FFFFFF"/>
          </w:rPr>
          <w:t>1</w:t>
        </w:r>
        <w:r w:rsidRPr="00361B44">
          <w:rPr>
            <w:color w:val="FFFFF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F39E" w14:textId="77777777" w:rsidR="00360F7A" w:rsidRDefault="00360F7A" w:rsidP="00DB1A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F25E9">
      <w:rPr>
        <w:rStyle w:val="Puslapionumeris"/>
        <w:noProof/>
      </w:rPr>
      <w:t>2</w:t>
    </w:r>
    <w:r>
      <w:rPr>
        <w:rStyle w:val="Puslapionumeris"/>
      </w:rPr>
      <w:fldChar w:fldCharType="end"/>
    </w:r>
  </w:p>
  <w:p w14:paraId="094ED5BC" w14:textId="77777777" w:rsidR="00360F7A" w:rsidRDefault="00360F7A">
    <w:pPr>
      <w:pStyle w:val="Antrats"/>
    </w:pPr>
  </w:p>
  <w:p w14:paraId="306A3EE7" w14:textId="77777777" w:rsidR="00A91260" w:rsidRDefault="00A9126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828287"/>
      <w:docPartObj>
        <w:docPartGallery w:val="Page Numbers (Top of Page)"/>
        <w:docPartUnique/>
      </w:docPartObj>
    </w:sdtPr>
    <w:sdtEndPr>
      <w:rPr>
        <w:noProof/>
      </w:rPr>
    </w:sdtEndPr>
    <w:sdtContent>
      <w:p w14:paraId="71E2CBA5" w14:textId="77777777" w:rsidR="00360F7A" w:rsidRDefault="00617B31" w:rsidP="00617B31">
        <w:pPr>
          <w:pStyle w:val="Antrats"/>
          <w:jc w:val="center"/>
        </w:pPr>
        <w:r w:rsidRPr="0039008C">
          <w:rPr>
            <w:color w:val="FFFFFF" w:themeColor="background1"/>
          </w:rPr>
          <w:fldChar w:fldCharType="begin"/>
        </w:r>
        <w:r w:rsidRPr="0039008C">
          <w:rPr>
            <w:color w:val="FFFFFF" w:themeColor="background1"/>
          </w:rPr>
          <w:instrText xml:space="preserve"> PAGE   \* MERGEFORMAT </w:instrText>
        </w:r>
        <w:r w:rsidRPr="0039008C">
          <w:rPr>
            <w:color w:val="FFFFFF" w:themeColor="background1"/>
          </w:rPr>
          <w:fldChar w:fldCharType="separate"/>
        </w:r>
        <w:r w:rsidR="003F25E9">
          <w:rPr>
            <w:noProof/>
            <w:color w:val="FFFFFF" w:themeColor="background1"/>
          </w:rPr>
          <w:t>1</w:t>
        </w:r>
        <w:r w:rsidRPr="0039008C">
          <w:rPr>
            <w:noProof/>
            <w:color w:val="FFFFFF" w:themeColor="background1"/>
          </w:rPr>
          <w:fldChar w:fldCharType="end"/>
        </w:r>
      </w:p>
    </w:sdtContent>
  </w:sdt>
  <w:p w14:paraId="24AB77B9" w14:textId="77777777" w:rsidR="00A91260" w:rsidRDefault="00A912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900"/>
    <w:multiLevelType w:val="multilevel"/>
    <w:tmpl w:val="D9A8ABA0"/>
    <w:lvl w:ilvl="0">
      <w:start w:val="1"/>
      <w:numFmt w:val="decimal"/>
      <w:lvlText w:val="%1."/>
      <w:lvlJc w:val="left"/>
      <w:pPr>
        <w:tabs>
          <w:tab w:val="num" w:pos="1131"/>
        </w:tabs>
        <w:ind w:left="1131" w:hanging="390"/>
      </w:pPr>
      <w:rPr>
        <w:rFonts w:hint="default"/>
      </w:rPr>
    </w:lvl>
    <w:lvl w:ilvl="1">
      <w:start w:val="1"/>
      <w:numFmt w:val="decimal"/>
      <w:isLgl/>
      <w:lvlText w:val="%1.%2."/>
      <w:lvlJc w:val="left"/>
      <w:pPr>
        <w:tabs>
          <w:tab w:val="num" w:pos="1785"/>
        </w:tabs>
        <w:ind w:left="1785" w:hanging="360"/>
      </w:pPr>
      <w:rPr>
        <w:rFonts w:hint="default"/>
      </w:rPr>
    </w:lvl>
    <w:lvl w:ilvl="2">
      <w:start w:val="1"/>
      <w:numFmt w:val="decimal"/>
      <w:isLgl/>
      <w:lvlText w:val="%1.%2.%3."/>
      <w:lvlJc w:val="left"/>
      <w:pPr>
        <w:tabs>
          <w:tab w:val="num" w:pos="2145"/>
        </w:tabs>
        <w:ind w:left="2145" w:hanging="720"/>
      </w:pPr>
      <w:rPr>
        <w:rFonts w:hint="default"/>
      </w:rPr>
    </w:lvl>
    <w:lvl w:ilvl="3">
      <w:start w:val="1"/>
      <w:numFmt w:val="decimal"/>
      <w:isLgl/>
      <w:lvlText w:val="%1.%2.%3.%4."/>
      <w:lvlJc w:val="left"/>
      <w:pPr>
        <w:tabs>
          <w:tab w:val="num" w:pos="2145"/>
        </w:tabs>
        <w:ind w:left="2145" w:hanging="720"/>
      </w:pPr>
      <w:rPr>
        <w:rFonts w:hint="default"/>
      </w:rPr>
    </w:lvl>
    <w:lvl w:ilvl="4">
      <w:start w:val="1"/>
      <w:numFmt w:val="decimal"/>
      <w:isLgl/>
      <w:lvlText w:val="%1.%2.%3.%4.%5."/>
      <w:lvlJc w:val="left"/>
      <w:pPr>
        <w:tabs>
          <w:tab w:val="num" w:pos="2505"/>
        </w:tabs>
        <w:ind w:left="2505" w:hanging="1080"/>
      </w:pPr>
      <w:rPr>
        <w:rFonts w:hint="default"/>
      </w:rPr>
    </w:lvl>
    <w:lvl w:ilvl="5">
      <w:start w:val="1"/>
      <w:numFmt w:val="decimal"/>
      <w:isLgl/>
      <w:lvlText w:val="%1.%2.%3.%4.%5.%6."/>
      <w:lvlJc w:val="left"/>
      <w:pPr>
        <w:tabs>
          <w:tab w:val="num" w:pos="2505"/>
        </w:tabs>
        <w:ind w:left="2505" w:hanging="1080"/>
      </w:pPr>
      <w:rPr>
        <w:rFonts w:hint="default"/>
      </w:rPr>
    </w:lvl>
    <w:lvl w:ilvl="6">
      <w:start w:val="1"/>
      <w:numFmt w:val="decimal"/>
      <w:isLgl/>
      <w:lvlText w:val="%1.%2.%3.%4.%5.%6.%7."/>
      <w:lvlJc w:val="left"/>
      <w:pPr>
        <w:tabs>
          <w:tab w:val="num" w:pos="2865"/>
        </w:tabs>
        <w:ind w:left="2865" w:hanging="1440"/>
      </w:pPr>
      <w:rPr>
        <w:rFonts w:hint="default"/>
      </w:rPr>
    </w:lvl>
    <w:lvl w:ilvl="7">
      <w:start w:val="1"/>
      <w:numFmt w:val="decimal"/>
      <w:isLgl/>
      <w:lvlText w:val="%1.%2.%3.%4.%5.%6.%7.%8."/>
      <w:lvlJc w:val="left"/>
      <w:pPr>
        <w:tabs>
          <w:tab w:val="num" w:pos="2865"/>
        </w:tabs>
        <w:ind w:left="2865" w:hanging="1440"/>
      </w:pPr>
      <w:rPr>
        <w:rFonts w:hint="default"/>
      </w:rPr>
    </w:lvl>
    <w:lvl w:ilvl="8">
      <w:start w:val="1"/>
      <w:numFmt w:val="decimal"/>
      <w:isLgl/>
      <w:lvlText w:val="%1.%2.%3.%4.%5.%6.%7.%8.%9."/>
      <w:lvlJc w:val="left"/>
      <w:pPr>
        <w:tabs>
          <w:tab w:val="num" w:pos="3225"/>
        </w:tabs>
        <w:ind w:left="3225" w:hanging="1800"/>
      </w:pPr>
      <w:rPr>
        <w:rFonts w:hint="default"/>
      </w:rPr>
    </w:lvl>
  </w:abstractNum>
  <w:abstractNum w:abstractNumId="1" w15:restartNumberingAfterBreak="0">
    <w:nsid w:val="1C1A4F09"/>
    <w:multiLevelType w:val="hybridMultilevel"/>
    <w:tmpl w:val="C646FB34"/>
    <w:lvl w:ilvl="0" w:tplc="D564F50E">
      <w:start w:val="1"/>
      <w:numFmt w:val="decimal"/>
      <w:lvlText w:val="%1."/>
      <w:lvlJc w:val="left"/>
      <w:pPr>
        <w:tabs>
          <w:tab w:val="num" w:pos="1729"/>
        </w:tabs>
        <w:ind w:left="1729" w:hanging="102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 w15:restartNumberingAfterBreak="0">
    <w:nsid w:val="1D66080C"/>
    <w:multiLevelType w:val="multilevel"/>
    <w:tmpl w:val="77626CF6"/>
    <w:lvl w:ilvl="0">
      <w:start w:val="1"/>
      <w:numFmt w:val="decimal"/>
      <w:lvlText w:val="%1."/>
      <w:lvlJc w:val="left"/>
      <w:pPr>
        <w:ind w:left="2487" w:hanging="360"/>
      </w:pPr>
      <w:rPr>
        <w:b w:val="0"/>
      </w:rPr>
    </w:lvl>
    <w:lvl w:ilvl="1">
      <w:start w:val="1"/>
      <w:numFmt w:val="decimal"/>
      <w:lvlText w:val="%1.%2."/>
      <w:lvlJc w:val="left"/>
      <w:pPr>
        <w:ind w:left="1709"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026F7"/>
    <w:multiLevelType w:val="hybridMultilevel"/>
    <w:tmpl w:val="A56C9FB4"/>
    <w:lvl w:ilvl="0" w:tplc="31562368">
      <w:start w:val="1"/>
      <w:numFmt w:val="decimal"/>
      <w:lvlText w:val="%1."/>
      <w:lvlJc w:val="left"/>
      <w:pPr>
        <w:tabs>
          <w:tab w:val="num" w:pos="1806"/>
        </w:tabs>
        <w:ind w:left="1806" w:hanging="360"/>
      </w:pPr>
      <w:rPr>
        <w:rFonts w:hint="default"/>
      </w:rPr>
    </w:lvl>
    <w:lvl w:ilvl="1" w:tplc="04270019" w:tentative="1">
      <w:start w:val="1"/>
      <w:numFmt w:val="lowerLetter"/>
      <w:lvlText w:val="%2."/>
      <w:lvlJc w:val="left"/>
      <w:pPr>
        <w:tabs>
          <w:tab w:val="num" w:pos="2526"/>
        </w:tabs>
        <w:ind w:left="2526" w:hanging="360"/>
      </w:pPr>
    </w:lvl>
    <w:lvl w:ilvl="2" w:tplc="0427001B" w:tentative="1">
      <w:start w:val="1"/>
      <w:numFmt w:val="lowerRoman"/>
      <w:lvlText w:val="%3."/>
      <w:lvlJc w:val="right"/>
      <w:pPr>
        <w:tabs>
          <w:tab w:val="num" w:pos="3246"/>
        </w:tabs>
        <w:ind w:left="3246" w:hanging="180"/>
      </w:pPr>
    </w:lvl>
    <w:lvl w:ilvl="3" w:tplc="0427000F" w:tentative="1">
      <w:start w:val="1"/>
      <w:numFmt w:val="decimal"/>
      <w:lvlText w:val="%4."/>
      <w:lvlJc w:val="left"/>
      <w:pPr>
        <w:tabs>
          <w:tab w:val="num" w:pos="3966"/>
        </w:tabs>
        <w:ind w:left="3966" w:hanging="360"/>
      </w:pPr>
    </w:lvl>
    <w:lvl w:ilvl="4" w:tplc="04270019" w:tentative="1">
      <w:start w:val="1"/>
      <w:numFmt w:val="lowerLetter"/>
      <w:lvlText w:val="%5."/>
      <w:lvlJc w:val="left"/>
      <w:pPr>
        <w:tabs>
          <w:tab w:val="num" w:pos="4686"/>
        </w:tabs>
        <w:ind w:left="4686" w:hanging="360"/>
      </w:pPr>
    </w:lvl>
    <w:lvl w:ilvl="5" w:tplc="0427001B" w:tentative="1">
      <w:start w:val="1"/>
      <w:numFmt w:val="lowerRoman"/>
      <w:lvlText w:val="%6."/>
      <w:lvlJc w:val="right"/>
      <w:pPr>
        <w:tabs>
          <w:tab w:val="num" w:pos="5406"/>
        </w:tabs>
        <w:ind w:left="5406" w:hanging="180"/>
      </w:pPr>
    </w:lvl>
    <w:lvl w:ilvl="6" w:tplc="0427000F" w:tentative="1">
      <w:start w:val="1"/>
      <w:numFmt w:val="decimal"/>
      <w:lvlText w:val="%7."/>
      <w:lvlJc w:val="left"/>
      <w:pPr>
        <w:tabs>
          <w:tab w:val="num" w:pos="6126"/>
        </w:tabs>
        <w:ind w:left="6126" w:hanging="360"/>
      </w:pPr>
    </w:lvl>
    <w:lvl w:ilvl="7" w:tplc="04270019" w:tentative="1">
      <w:start w:val="1"/>
      <w:numFmt w:val="lowerLetter"/>
      <w:lvlText w:val="%8."/>
      <w:lvlJc w:val="left"/>
      <w:pPr>
        <w:tabs>
          <w:tab w:val="num" w:pos="6846"/>
        </w:tabs>
        <w:ind w:left="6846" w:hanging="360"/>
      </w:pPr>
    </w:lvl>
    <w:lvl w:ilvl="8" w:tplc="0427001B" w:tentative="1">
      <w:start w:val="1"/>
      <w:numFmt w:val="lowerRoman"/>
      <w:lvlText w:val="%9."/>
      <w:lvlJc w:val="right"/>
      <w:pPr>
        <w:tabs>
          <w:tab w:val="num" w:pos="7566"/>
        </w:tabs>
        <w:ind w:left="7566" w:hanging="180"/>
      </w:pPr>
    </w:lvl>
  </w:abstractNum>
  <w:abstractNum w:abstractNumId="4" w15:restartNumberingAfterBreak="0">
    <w:nsid w:val="328716F8"/>
    <w:multiLevelType w:val="hybridMultilevel"/>
    <w:tmpl w:val="2C9E1C2C"/>
    <w:lvl w:ilvl="0" w:tplc="8FCA9A84">
      <w:start w:val="1"/>
      <w:numFmt w:val="decimal"/>
      <w:lvlText w:val="%1."/>
      <w:lvlJc w:val="left"/>
      <w:pPr>
        <w:ind w:left="947" w:hanging="360"/>
      </w:pPr>
      <w:rPr>
        <w:rFonts w:hint="default"/>
      </w:rPr>
    </w:lvl>
    <w:lvl w:ilvl="1" w:tplc="04270019" w:tentative="1">
      <w:start w:val="1"/>
      <w:numFmt w:val="lowerLetter"/>
      <w:lvlText w:val="%2."/>
      <w:lvlJc w:val="left"/>
      <w:pPr>
        <w:ind w:left="1667" w:hanging="360"/>
      </w:p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5" w15:restartNumberingAfterBreak="0">
    <w:nsid w:val="38153B58"/>
    <w:multiLevelType w:val="hybridMultilevel"/>
    <w:tmpl w:val="58808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AF2335"/>
    <w:multiLevelType w:val="hybridMultilevel"/>
    <w:tmpl w:val="0E343C80"/>
    <w:lvl w:ilvl="0" w:tplc="04270001">
      <w:start w:val="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B16D40"/>
    <w:multiLevelType w:val="hybridMultilevel"/>
    <w:tmpl w:val="BAA86258"/>
    <w:lvl w:ilvl="0" w:tplc="853487F8">
      <w:start w:val="4"/>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8" w15:restartNumberingAfterBreak="0">
    <w:nsid w:val="58F575F4"/>
    <w:multiLevelType w:val="hybridMultilevel"/>
    <w:tmpl w:val="B37AD4E2"/>
    <w:lvl w:ilvl="0" w:tplc="7AA818D6">
      <w:start w:val="1"/>
      <w:numFmt w:val="decimal"/>
      <w:lvlText w:val="%1)"/>
      <w:lvlJc w:val="left"/>
      <w:pPr>
        <w:ind w:left="1070" w:hanging="360"/>
      </w:pPr>
      <w:rPr>
        <w:rFonts w:hint="default"/>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E20538"/>
    <w:multiLevelType w:val="hybridMultilevel"/>
    <w:tmpl w:val="80328F6C"/>
    <w:lvl w:ilvl="0" w:tplc="5740C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F107A2"/>
    <w:multiLevelType w:val="hybridMultilevel"/>
    <w:tmpl w:val="E93AF6B2"/>
    <w:lvl w:ilvl="0" w:tplc="0427000F">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num w:numId="1" w16cid:durableId="1070343713">
    <w:abstractNumId w:val="10"/>
  </w:num>
  <w:num w:numId="2" w16cid:durableId="1409961533">
    <w:abstractNumId w:val="3"/>
  </w:num>
  <w:num w:numId="3" w16cid:durableId="1050882837">
    <w:abstractNumId w:val="0"/>
  </w:num>
  <w:num w:numId="4" w16cid:durableId="401953675">
    <w:abstractNumId w:val="7"/>
  </w:num>
  <w:num w:numId="5" w16cid:durableId="304821725">
    <w:abstractNumId w:val="1"/>
  </w:num>
  <w:num w:numId="6" w16cid:durableId="952323658">
    <w:abstractNumId w:val="6"/>
  </w:num>
  <w:num w:numId="7" w16cid:durableId="999189721">
    <w:abstractNumId w:val="4"/>
  </w:num>
  <w:num w:numId="8" w16cid:durableId="233247981">
    <w:abstractNumId w:val="5"/>
  </w:num>
  <w:num w:numId="9" w16cid:durableId="1884898320">
    <w:abstractNumId w:val="8"/>
  </w:num>
  <w:num w:numId="10" w16cid:durableId="661204277">
    <w:abstractNumId w:val="2"/>
  </w:num>
  <w:num w:numId="11" w16cid:durableId="1660646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3D1"/>
    <w:rsid w:val="00000CA7"/>
    <w:rsid w:val="00002C8D"/>
    <w:rsid w:val="0000408C"/>
    <w:rsid w:val="00005E73"/>
    <w:rsid w:val="00005F53"/>
    <w:rsid w:val="000066C8"/>
    <w:rsid w:val="00012A25"/>
    <w:rsid w:val="00013538"/>
    <w:rsid w:val="000137E2"/>
    <w:rsid w:val="00015569"/>
    <w:rsid w:val="00015E12"/>
    <w:rsid w:val="000209A2"/>
    <w:rsid w:val="000213EB"/>
    <w:rsid w:val="00024705"/>
    <w:rsid w:val="0002586C"/>
    <w:rsid w:val="00025F16"/>
    <w:rsid w:val="000271DE"/>
    <w:rsid w:val="00027B67"/>
    <w:rsid w:val="00027E0C"/>
    <w:rsid w:val="00030613"/>
    <w:rsid w:val="000329D7"/>
    <w:rsid w:val="000330AA"/>
    <w:rsid w:val="00033AF1"/>
    <w:rsid w:val="0003524C"/>
    <w:rsid w:val="00035ED8"/>
    <w:rsid w:val="000372FC"/>
    <w:rsid w:val="00037AD7"/>
    <w:rsid w:val="000405A9"/>
    <w:rsid w:val="0004089C"/>
    <w:rsid w:val="00040D36"/>
    <w:rsid w:val="00041374"/>
    <w:rsid w:val="00043F44"/>
    <w:rsid w:val="0004504E"/>
    <w:rsid w:val="00045E1E"/>
    <w:rsid w:val="00046B8F"/>
    <w:rsid w:val="000479BE"/>
    <w:rsid w:val="00047D25"/>
    <w:rsid w:val="00052539"/>
    <w:rsid w:val="00052B38"/>
    <w:rsid w:val="00054805"/>
    <w:rsid w:val="00056F90"/>
    <w:rsid w:val="000610BD"/>
    <w:rsid w:val="0006165D"/>
    <w:rsid w:val="000617D9"/>
    <w:rsid w:val="00062299"/>
    <w:rsid w:val="00062EF6"/>
    <w:rsid w:val="0006435D"/>
    <w:rsid w:val="00064379"/>
    <w:rsid w:val="00064475"/>
    <w:rsid w:val="000717F8"/>
    <w:rsid w:val="00072E13"/>
    <w:rsid w:val="00073541"/>
    <w:rsid w:val="000758CE"/>
    <w:rsid w:val="00080559"/>
    <w:rsid w:val="00081638"/>
    <w:rsid w:val="00081804"/>
    <w:rsid w:val="00085C94"/>
    <w:rsid w:val="00087519"/>
    <w:rsid w:val="0008766E"/>
    <w:rsid w:val="00092CE6"/>
    <w:rsid w:val="00092F6F"/>
    <w:rsid w:val="0009458F"/>
    <w:rsid w:val="000979EC"/>
    <w:rsid w:val="000A26CD"/>
    <w:rsid w:val="000A2A4F"/>
    <w:rsid w:val="000A49F2"/>
    <w:rsid w:val="000A664F"/>
    <w:rsid w:val="000A6ACD"/>
    <w:rsid w:val="000B20E3"/>
    <w:rsid w:val="000B3306"/>
    <w:rsid w:val="000B668C"/>
    <w:rsid w:val="000B7C71"/>
    <w:rsid w:val="000C10BF"/>
    <w:rsid w:val="000C5488"/>
    <w:rsid w:val="000D1917"/>
    <w:rsid w:val="000D4693"/>
    <w:rsid w:val="000D59AE"/>
    <w:rsid w:val="000D71C9"/>
    <w:rsid w:val="000E33D1"/>
    <w:rsid w:val="000E3CA2"/>
    <w:rsid w:val="000E642D"/>
    <w:rsid w:val="000F14E4"/>
    <w:rsid w:val="000F729A"/>
    <w:rsid w:val="00105455"/>
    <w:rsid w:val="00105E7F"/>
    <w:rsid w:val="001070AB"/>
    <w:rsid w:val="0011051F"/>
    <w:rsid w:val="0011495C"/>
    <w:rsid w:val="00114B54"/>
    <w:rsid w:val="00117493"/>
    <w:rsid w:val="00121542"/>
    <w:rsid w:val="00122425"/>
    <w:rsid w:val="00122E4B"/>
    <w:rsid w:val="001240FF"/>
    <w:rsid w:val="00124F2F"/>
    <w:rsid w:val="001273A2"/>
    <w:rsid w:val="00132790"/>
    <w:rsid w:val="001330D9"/>
    <w:rsid w:val="001356C1"/>
    <w:rsid w:val="00135E1F"/>
    <w:rsid w:val="001427C3"/>
    <w:rsid w:val="00142890"/>
    <w:rsid w:val="001452F8"/>
    <w:rsid w:val="001479AD"/>
    <w:rsid w:val="00150F01"/>
    <w:rsid w:val="00151D02"/>
    <w:rsid w:val="00152B6E"/>
    <w:rsid w:val="00152BE9"/>
    <w:rsid w:val="00153B87"/>
    <w:rsid w:val="001548D9"/>
    <w:rsid w:val="001549C0"/>
    <w:rsid w:val="00155C0A"/>
    <w:rsid w:val="00155DE7"/>
    <w:rsid w:val="00157424"/>
    <w:rsid w:val="00160C5E"/>
    <w:rsid w:val="001639F7"/>
    <w:rsid w:val="0016494D"/>
    <w:rsid w:val="00165932"/>
    <w:rsid w:val="00174BEC"/>
    <w:rsid w:val="00180FCF"/>
    <w:rsid w:val="00182924"/>
    <w:rsid w:val="00184D8D"/>
    <w:rsid w:val="00184F49"/>
    <w:rsid w:val="00185B6E"/>
    <w:rsid w:val="00191F80"/>
    <w:rsid w:val="00193911"/>
    <w:rsid w:val="001947B6"/>
    <w:rsid w:val="00196D58"/>
    <w:rsid w:val="001A130D"/>
    <w:rsid w:val="001A2BA3"/>
    <w:rsid w:val="001A5D3E"/>
    <w:rsid w:val="001B2DB9"/>
    <w:rsid w:val="001B3554"/>
    <w:rsid w:val="001B5902"/>
    <w:rsid w:val="001C0ABD"/>
    <w:rsid w:val="001C198F"/>
    <w:rsid w:val="001C4C14"/>
    <w:rsid w:val="001C6B68"/>
    <w:rsid w:val="001C6F5E"/>
    <w:rsid w:val="001D40FB"/>
    <w:rsid w:val="001D5E60"/>
    <w:rsid w:val="001E0CD9"/>
    <w:rsid w:val="001E3F32"/>
    <w:rsid w:val="001E42BC"/>
    <w:rsid w:val="001E53CA"/>
    <w:rsid w:val="001E6DAD"/>
    <w:rsid w:val="001F0573"/>
    <w:rsid w:val="001F0895"/>
    <w:rsid w:val="001F2D57"/>
    <w:rsid w:val="001F3BE5"/>
    <w:rsid w:val="0020149F"/>
    <w:rsid w:val="00201730"/>
    <w:rsid w:val="00201EA9"/>
    <w:rsid w:val="0020254E"/>
    <w:rsid w:val="00202FEF"/>
    <w:rsid w:val="002041F0"/>
    <w:rsid w:val="00204AE5"/>
    <w:rsid w:val="0020578E"/>
    <w:rsid w:val="00207F71"/>
    <w:rsid w:val="002151EB"/>
    <w:rsid w:val="0021568E"/>
    <w:rsid w:val="00224222"/>
    <w:rsid w:val="002243F4"/>
    <w:rsid w:val="002262D8"/>
    <w:rsid w:val="002305B4"/>
    <w:rsid w:val="00231D35"/>
    <w:rsid w:val="00235A80"/>
    <w:rsid w:val="002376E2"/>
    <w:rsid w:val="00241A94"/>
    <w:rsid w:val="00251D79"/>
    <w:rsid w:val="00253E55"/>
    <w:rsid w:val="002602D7"/>
    <w:rsid w:val="00261686"/>
    <w:rsid w:val="00266A73"/>
    <w:rsid w:val="00267957"/>
    <w:rsid w:val="0027065B"/>
    <w:rsid w:val="00270DC3"/>
    <w:rsid w:val="00271E01"/>
    <w:rsid w:val="00277AD5"/>
    <w:rsid w:val="002844FE"/>
    <w:rsid w:val="00284764"/>
    <w:rsid w:val="00285912"/>
    <w:rsid w:val="00292EB8"/>
    <w:rsid w:val="00293215"/>
    <w:rsid w:val="002A03BD"/>
    <w:rsid w:val="002A0E25"/>
    <w:rsid w:val="002A1A36"/>
    <w:rsid w:val="002A48AD"/>
    <w:rsid w:val="002A5F74"/>
    <w:rsid w:val="002A798D"/>
    <w:rsid w:val="002B2039"/>
    <w:rsid w:val="002B6154"/>
    <w:rsid w:val="002B6C05"/>
    <w:rsid w:val="002C3127"/>
    <w:rsid w:val="002C7228"/>
    <w:rsid w:val="002D05A6"/>
    <w:rsid w:val="002D144D"/>
    <w:rsid w:val="002D1C2A"/>
    <w:rsid w:val="002D2D95"/>
    <w:rsid w:val="002D3AD3"/>
    <w:rsid w:val="002D535A"/>
    <w:rsid w:val="002D73E4"/>
    <w:rsid w:val="002E2BBB"/>
    <w:rsid w:val="002E4DA8"/>
    <w:rsid w:val="002E7DFC"/>
    <w:rsid w:val="002F0A38"/>
    <w:rsid w:val="002F2264"/>
    <w:rsid w:val="002F3B20"/>
    <w:rsid w:val="002F41B8"/>
    <w:rsid w:val="002F750D"/>
    <w:rsid w:val="00302280"/>
    <w:rsid w:val="00302978"/>
    <w:rsid w:val="003033DE"/>
    <w:rsid w:val="00305AF5"/>
    <w:rsid w:val="00310AAE"/>
    <w:rsid w:val="003136D8"/>
    <w:rsid w:val="0031384D"/>
    <w:rsid w:val="0031414B"/>
    <w:rsid w:val="00320893"/>
    <w:rsid w:val="00323295"/>
    <w:rsid w:val="0032334F"/>
    <w:rsid w:val="003235DE"/>
    <w:rsid w:val="00327401"/>
    <w:rsid w:val="00333EDF"/>
    <w:rsid w:val="0033659D"/>
    <w:rsid w:val="00337AF1"/>
    <w:rsid w:val="00343CE8"/>
    <w:rsid w:val="0034624A"/>
    <w:rsid w:val="00347513"/>
    <w:rsid w:val="00347D1F"/>
    <w:rsid w:val="00347F9E"/>
    <w:rsid w:val="0035029E"/>
    <w:rsid w:val="00350A6F"/>
    <w:rsid w:val="00351D8C"/>
    <w:rsid w:val="00353EA1"/>
    <w:rsid w:val="00354254"/>
    <w:rsid w:val="00355B5B"/>
    <w:rsid w:val="00355C00"/>
    <w:rsid w:val="00356345"/>
    <w:rsid w:val="00360F7A"/>
    <w:rsid w:val="00361B44"/>
    <w:rsid w:val="00362892"/>
    <w:rsid w:val="00363503"/>
    <w:rsid w:val="0036361F"/>
    <w:rsid w:val="0036372B"/>
    <w:rsid w:val="00363C3C"/>
    <w:rsid w:val="00364541"/>
    <w:rsid w:val="00370EA7"/>
    <w:rsid w:val="003723F5"/>
    <w:rsid w:val="0037318D"/>
    <w:rsid w:val="00377E82"/>
    <w:rsid w:val="00380DE5"/>
    <w:rsid w:val="00381069"/>
    <w:rsid w:val="00381833"/>
    <w:rsid w:val="00385468"/>
    <w:rsid w:val="003863BB"/>
    <w:rsid w:val="003864A2"/>
    <w:rsid w:val="0039008C"/>
    <w:rsid w:val="003946B0"/>
    <w:rsid w:val="00395675"/>
    <w:rsid w:val="0039767F"/>
    <w:rsid w:val="003A131B"/>
    <w:rsid w:val="003A3D56"/>
    <w:rsid w:val="003A418C"/>
    <w:rsid w:val="003A522C"/>
    <w:rsid w:val="003B055E"/>
    <w:rsid w:val="003B2354"/>
    <w:rsid w:val="003B24EC"/>
    <w:rsid w:val="003B269E"/>
    <w:rsid w:val="003B65AA"/>
    <w:rsid w:val="003C2797"/>
    <w:rsid w:val="003C3931"/>
    <w:rsid w:val="003C403C"/>
    <w:rsid w:val="003C4997"/>
    <w:rsid w:val="003C5AAC"/>
    <w:rsid w:val="003C645F"/>
    <w:rsid w:val="003D0D40"/>
    <w:rsid w:val="003D32DB"/>
    <w:rsid w:val="003D65D3"/>
    <w:rsid w:val="003E179B"/>
    <w:rsid w:val="003E24B7"/>
    <w:rsid w:val="003E3F58"/>
    <w:rsid w:val="003E4AA2"/>
    <w:rsid w:val="003F1049"/>
    <w:rsid w:val="003F25E9"/>
    <w:rsid w:val="003F3FFC"/>
    <w:rsid w:val="003F56DE"/>
    <w:rsid w:val="003F5D50"/>
    <w:rsid w:val="00400E16"/>
    <w:rsid w:val="00403253"/>
    <w:rsid w:val="00404141"/>
    <w:rsid w:val="00404502"/>
    <w:rsid w:val="00405BBF"/>
    <w:rsid w:val="004107BB"/>
    <w:rsid w:val="00411777"/>
    <w:rsid w:val="0041538A"/>
    <w:rsid w:val="00415F1F"/>
    <w:rsid w:val="00416299"/>
    <w:rsid w:val="004169CA"/>
    <w:rsid w:val="004175E4"/>
    <w:rsid w:val="00421158"/>
    <w:rsid w:val="00422C5C"/>
    <w:rsid w:val="0042343E"/>
    <w:rsid w:val="0042549E"/>
    <w:rsid w:val="004309E2"/>
    <w:rsid w:val="004315B0"/>
    <w:rsid w:val="00433E4D"/>
    <w:rsid w:val="0043674F"/>
    <w:rsid w:val="00436898"/>
    <w:rsid w:val="00440408"/>
    <w:rsid w:val="00441344"/>
    <w:rsid w:val="004437E5"/>
    <w:rsid w:val="004458BA"/>
    <w:rsid w:val="00447866"/>
    <w:rsid w:val="0045050E"/>
    <w:rsid w:val="0045052B"/>
    <w:rsid w:val="00454A34"/>
    <w:rsid w:val="00456627"/>
    <w:rsid w:val="00456778"/>
    <w:rsid w:val="004567E5"/>
    <w:rsid w:val="00456C88"/>
    <w:rsid w:val="00461055"/>
    <w:rsid w:val="004615D1"/>
    <w:rsid w:val="00462582"/>
    <w:rsid w:val="004625B6"/>
    <w:rsid w:val="004635E0"/>
    <w:rsid w:val="004666C2"/>
    <w:rsid w:val="00472A8E"/>
    <w:rsid w:val="0047409B"/>
    <w:rsid w:val="00476EE3"/>
    <w:rsid w:val="0047712A"/>
    <w:rsid w:val="00480064"/>
    <w:rsid w:val="00480B3B"/>
    <w:rsid w:val="00481470"/>
    <w:rsid w:val="00481A4F"/>
    <w:rsid w:val="00481A5F"/>
    <w:rsid w:val="00483404"/>
    <w:rsid w:val="00484D1C"/>
    <w:rsid w:val="0048536D"/>
    <w:rsid w:val="00486482"/>
    <w:rsid w:val="00487B80"/>
    <w:rsid w:val="00490B87"/>
    <w:rsid w:val="00492BD6"/>
    <w:rsid w:val="00492EA7"/>
    <w:rsid w:val="004935D1"/>
    <w:rsid w:val="00493622"/>
    <w:rsid w:val="004938D4"/>
    <w:rsid w:val="00495E2D"/>
    <w:rsid w:val="004A480A"/>
    <w:rsid w:val="004A546E"/>
    <w:rsid w:val="004B1C83"/>
    <w:rsid w:val="004B4CBF"/>
    <w:rsid w:val="004B5445"/>
    <w:rsid w:val="004C047C"/>
    <w:rsid w:val="004C142E"/>
    <w:rsid w:val="004C1893"/>
    <w:rsid w:val="004C3588"/>
    <w:rsid w:val="004C4773"/>
    <w:rsid w:val="004C5179"/>
    <w:rsid w:val="004C5C6A"/>
    <w:rsid w:val="004C63E4"/>
    <w:rsid w:val="004D0A42"/>
    <w:rsid w:val="004D1179"/>
    <w:rsid w:val="004D285A"/>
    <w:rsid w:val="004E0AE7"/>
    <w:rsid w:val="004E199D"/>
    <w:rsid w:val="004E52BE"/>
    <w:rsid w:val="004E5617"/>
    <w:rsid w:val="004F02C4"/>
    <w:rsid w:val="004F0C3A"/>
    <w:rsid w:val="004F0DC0"/>
    <w:rsid w:val="004F27CB"/>
    <w:rsid w:val="004F2976"/>
    <w:rsid w:val="004F6B86"/>
    <w:rsid w:val="004F7E4A"/>
    <w:rsid w:val="005002D5"/>
    <w:rsid w:val="005053BC"/>
    <w:rsid w:val="0050597C"/>
    <w:rsid w:val="00510CCD"/>
    <w:rsid w:val="00513CE1"/>
    <w:rsid w:val="00514E03"/>
    <w:rsid w:val="00516020"/>
    <w:rsid w:val="00516A10"/>
    <w:rsid w:val="005174C9"/>
    <w:rsid w:val="00520976"/>
    <w:rsid w:val="00520E02"/>
    <w:rsid w:val="00521E01"/>
    <w:rsid w:val="00522B2D"/>
    <w:rsid w:val="00527E8C"/>
    <w:rsid w:val="005339A7"/>
    <w:rsid w:val="005367B2"/>
    <w:rsid w:val="005400D8"/>
    <w:rsid w:val="00541290"/>
    <w:rsid w:val="00544132"/>
    <w:rsid w:val="0054576E"/>
    <w:rsid w:val="00545819"/>
    <w:rsid w:val="00552CCE"/>
    <w:rsid w:val="00553F67"/>
    <w:rsid w:val="005542B3"/>
    <w:rsid w:val="005556D1"/>
    <w:rsid w:val="00556630"/>
    <w:rsid w:val="00556D1C"/>
    <w:rsid w:val="00556F90"/>
    <w:rsid w:val="005603B2"/>
    <w:rsid w:val="005604FA"/>
    <w:rsid w:val="0056242D"/>
    <w:rsid w:val="00563EA5"/>
    <w:rsid w:val="005648D0"/>
    <w:rsid w:val="00570D3C"/>
    <w:rsid w:val="0057109C"/>
    <w:rsid w:val="0057203A"/>
    <w:rsid w:val="005729DF"/>
    <w:rsid w:val="005747BB"/>
    <w:rsid w:val="00575DAD"/>
    <w:rsid w:val="005768E8"/>
    <w:rsid w:val="00577B29"/>
    <w:rsid w:val="00580CE9"/>
    <w:rsid w:val="005819DB"/>
    <w:rsid w:val="00583E94"/>
    <w:rsid w:val="00585459"/>
    <w:rsid w:val="005856F0"/>
    <w:rsid w:val="00586D6D"/>
    <w:rsid w:val="00587C71"/>
    <w:rsid w:val="005916E7"/>
    <w:rsid w:val="00591C7F"/>
    <w:rsid w:val="00591D77"/>
    <w:rsid w:val="005934C9"/>
    <w:rsid w:val="005951B8"/>
    <w:rsid w:val="005977A8"/>
    <w:rsid w:val="00597D6C"/>
    <w:rsid w:val="005A2C69"/>
    <w:rsid w:val="005A3D8C"/>
    <w:rsid w:val="005A469A"/>
    <w:rsid w:val="005A556B"/>
    <w:rsid w:val="005A597B"/>
    <w:rsid w:val="005A5B69"/>
    <w:rsid w:val="005A60A0"/>
    <w:rsid w:val="005B34EB"/>
    <w:rsid w:val="005B58B1"/>
    <w:rsid w:val="005B7868"/>
    <w:rsid w:val="005C0D68"/>
    <w:rsid w:val="005C1A74"/>
    <w:rsid w:val="005C282D"/>
    <w:rsid w:val="005C66B4"/>
    <w:rsid w:val="005C68E7"/>
    <w:rsid w:val="005D19A8"/>
    <w:rsid w:val="005D329C"/>
    <w:rsid w:val="005D6F9D"/>
    <w:rsid w:val="005E2115"/>
    <w:rsid w:val="005E38ED"/>
    <w:rsid w:val="005E5296"/>
    <w:rsid w:val="005E570D"/>
    <w:rsid w:val="005E65A8"/>
    <w:rsid w:val="005F08BA"/>
    <w:rsid w:val="005F0D47"/>
    <w:rsid w:val="005F3BE9"/>
    <w:rsid w:val="00600AAB"/>
    <w:rsid w:val="00602DCC"/>
    <w:rsid w:val="006039EE"/>
    <w:rsid w:val="0060422B"/>
    <w:rsid w:val="00605CF4"/>
    <w:rsid w:val="00605E52"/>
    <w:rsid w:val="00606385"/>
    <w:rsid w:val="0061665D"/>
    <w:rsid w:val="00617470"/>
    <w:rsid w:val="00617B31"/>
    <w:rsid w:val="0062006C"/>
    <w:rsid w:val="0062214F"/>
    <w:rsid w:val="00622634"/>
    <w:rsid w:val="00623BA3"/>
    <w:rsid w:val="006257E7"/>
    <w:rsid w:val="00625A15"/>
    <w:rsid w:val="006266FB"/>
    <w:rsid w:val="00626989"/>
    <w:rsid w:val="00630DAF"/>
    <w:rsid w:val="00637686"/>
    <w:rsid w:val="006429CF"/>
    <w:rsid w:val="00642F7B"/>
    <w:rsid w:val="0064311E"/>
    <w:rsid w:val="0064515A"/>
    <w:rsid w:val="0064770D"/>
    <w:rsid w:val="006477B1"/>
    <w:rsid w:val="00650438"/>
    <w:rsid w:val="00651164"/>
    <w:rsid w:val="00652F49"/>
    <w:rsid w:val="00654FF2"/>
    <w:rsid w:val="00657FEF"/>
    <w:rsid w:val="006607D4"/>
    <w:rsid w:val="00661A53"/>
    <w:rsid w:val="0066337B"/>
    <w:rsid w:val="00664157"/>
    <w:rsid w:val="00664A21"/>
    <w:rsid w:val="0066735C"/>
    <w:rsid w:val="00667BCE"/>
    <w:rsid w:val="00667D4A"/>
    <w:rsid w:val="006704C2"/>
    <w:rsid w:val="00671135"/>
    <w:rsid w:val="00671680"/>
    <w:rsid w:val="00673229"/>
    <w:rsid w:val="006743F8"/>
    <w:rsid w:val="00675B34"/>
    <w:rsid w:val="00681111"/>
    <w:rsid w:val="00681DB1"/>
    <w:rsid w:val="006829E4"/>
    <w:rsid w:val="00684132"/>
    <w:rsid w:val="006911FE"/>
    <w:rsid w:val="00691989"/>
    <w:rsid w:val="00692605"/>
    <w:rsid w:val="006962FB"/>
    <w:rsid w:val="006A0FDA"/>
    <w:rsid w:val="006A2603"/>
    <w:rsid w:val="006A4AF1"/>
    <w:rsid w:val="006A5BCC"/>
    <w:rsid w:val="006A63C5"/>
    <w:rsid w:val="006A6419"/>
    <w:rsid w:val="006A6EFF"/>
    <w:rsid w:val="006A788F"/>
    <w:rsid w:val="006B0C88"/>
    <w:rsid w:val="006B2533"/>
    <w:rsid w:val="006B39B8"/>
    <w:rsid w:val="006B532C"/>
    <w:rsid w:val="006B58A1"/>
    <w:rsid w:val="006B7192"/>
    <w:rsid w:val="006B7712"/>
    <w:rsid w:val="006C11EC"/>
    <w:rsid w:val="006C15E6"/>
    <w:rsid w:val="006C20CD"/>
    <w:rsid w:val="006C25FA"/>
    <w:rsid w:val="006C3704"/>
    <w:rsid w:val="006D0C38"/>
    <w:rsid w:val="006D165E"/>
    <w:rsid w:val="006D4217"/>
    <w:rsid w:val="006D5122"/>
    <w:rsid w:val="006D7532"/>
    <w:rsid w:val="006E128B"/>
    <w:rsid w:val="006E1778"/>
    <w:rsid w:val="006E2379"/>
    <w:rsid w:val="006E45AD"/>
    <w:rsid w:val="006E4A55"/>
    <w:rsid w:val="006E4BB6"/>
    <w:rsid w:val="006E5394"/>
    <w:rsid w:val="006E61FF"/>
    <w:rsid w:val="006F1DAF"/>
    <w:rsid w:val="006F7445"/>
    <w:rsid w:val="0070225A"/>
    <w:rsid w:val="00705A5D"/>
    <w:rsid w:val="00705BD8"/>
    <w:rsid w:val="00716BD4"/>
    <w:rsid w:val="007207AC"/>
    <w:rsid w:val="00721F0C"/>
    <w:rsid w:val="00721F61"/>
    <w:rsid w:val="00722B99"/>
    <w:rsid w:val="007279FC"/>
    <w:rsid w:val="00731E86"/>
    <w:rsid w:val="007353B4"/>
    <w:rsid w:val="007362C8"/>
    <w:rsid w:val="007412C4"/>
    <w:rsid w:val="00745406"/>
    <w:rsid w:val="007478C1"/>
    <w:rsid w:val="00747B45"/>
    <w:rsid w:val="00751C84"/>
    <w:rsid w:val="00754194"/>
    <w:rsid w:val="00754213"/>
    <w:rsid w:val="00756233"/>
    <w:rsid w:val="007571B7"/>
    <w:rsid w:val="00757702"/>
    <w:rsid w:val="007578EC"/>
    <w:rsid w:val="0076020F"/>
    <w:rsid w:val="0076191C"/>
    <w:rsid w:val="00765966"/>
    <w:rsid w:val="00767440"/>
    <w:rsid w:val="00770687"/>
    <w:rsid w:val="00770E61"/>
    <w:rsid w:val="00771A3B"/>
    <w:rsid w:val="0077267E"/>
    <w:rsid w:val="007729AF"/>
    <w:rsid w:val="00773496"/>
    <w:rsid w:val="00775E0E"/>
    <w:rsid w:val="00776EAB"/>
    <w:rsid w:val="007771A7"/>
    <w:rsid w:val="00777AD5"/>
    <w:rsid w:val="00777C71"/>
    <w:rsid w:val="00784150"/>
    <w:rsid w:val="00784BC3"/>
    <w:rsid w:val="00791813"/>
    <w:rsid w:val="007918A4"/>
    <w:rsid w:val="00791CBE"/>
    <w:rsid w:val="00792A1C"/>
    <w:rsid w:val="007931AE"/>
    <w:rsid w:val="00795DB5"/>
    <w:rsid w:val="007A2430"/>
    <w:rsid w:val="007A4CCF"/>
    <w:rsid w:val="007A5CC8"/>
    <w:rsid w:val="007A6CC9"/>
    <w:rsid w:val="007A7496"/>
    <w:rsid w:val="007B33D0"/>
    <w:rsid w:val="007B6EE6"/>
    <w:rsid w:val="007B743B"/>
    <w:rsid w:val="007C031B"/>
    <w:rsid w:val="007C2858"/>
    <w:rsid w:val="007C29DC"/>
    <w:rsid w:val="007C608D"/>
    <w:rsid w:val="007C6FD7"/>
    <w:rsid w:val="007C717E"/>
    <w:rsid w:val="007C7185"/>
    <w:rsid w:val="007D21EB"/>
    <w:rsid w:val="007D3243"/>
    <w:rsid w:val="007D4A6B"/>
    <w:rsid w:val="007D699A"/>
    <w:rsid w:val="007E1AB8"/>
    <w:rsid w:val="007E1D00"/>
    <w:rsid w:val="007E2107"/>
    <w:rsid w:val="007E2B18"/>
    <w:rsid w:val="007E2BC1"/>
    <w:rsid w:val="007E5D11"/>
    <w:rsid w:val="007E7B02"/>
    <w:rsid w:val="007F0129"/>
    <w:rsid w:val="007F3306"/>
    <w:rsid w:val="007F34EC"/>
    <w:rsid w:val="007F4B08"/>
    <w:rsid w:val="007F5C48"/>
    <w:rsid w:val="007F7F91"/>
    <w:rsid w:val="008005C5"/>
    <w:rsid w:val="00801230"/>
    <w:rsid w:val="00803780"/>
    <w:rsid w:val="00803B6D"/>
    <w:rsid w:val="00804635"/>
    <w:rsid w:val="00806031"/>
    <w:rsid w:val="00806497"/>
    <w:rsid w:val="008170A8"/>
    <w:rsid w:val="008227F4"/>
    <w:rsid w:val="0082547C"/>
    <w:rsid w:val="0082618D"/>
    <w:rsid w:val="008303C1"/>
    <w:rsid w:val="0083045A"/>
    <w:rsid w:val="008313DC"/>
    <w:rsid w:val="008320D4"/>
    <w:rsid w:val="0083281A"/>
    <w:rsid w:val="0083401C"/>
    <w:rsid w:val="00835DC7"/>
    <w:rsid w:val="0083749C"/>
    <w:rsid w:val="008374FA"/>
    <w:rsid w:val="00840127"/>
    <w:rsid w:val="008407C4"/>
    <w:rsid w:val="008414B0"/>
    <w:rsid w:val="008424D5"/>
    <w:rsid w:val="00842753"/>
    <w:rsid w:val="00842D06"/>
    <w:rsid w:val="00845F8E"/>
    <w:rsid w:val="00846590"/>
    <w:rsid w:val="00846A8B"/>
    <w:rsid w:val="00847572"/>
    <w:rsid w:val="00850359"/>
    <w:rsid w:val="0085076A"/>
    <w:rsid w:val="008543F4"/>
    <w:rsid w:val="0085557A"/>
    <w:rsid w:val="008568E9"/>
    <w:rsid w:val="00856A52"/>
    <w:rsid w:val="0086151E"/>
    <w:rsid w:val="00862CCD"/>
    <w:rsid w:val="008660A3"/>
    <w:rsid w:val="00866939"/>
    <w:rsid w:val="00870D74"/>
    <w:rsid w:val="00870ED2"/>
    <w:rsid w:val="00871D2D"/>
    <w:rsid w:val="008721BC"/>
    <w:rsid w:val="00872949"/>
    <w:rsid w:val="00875607"/>
    <w:rsid w:val="00877133"/>
    <w:rsid w:val="00884A1F"/>
    <w:rsid w:val="0088575A"/>
    <w:rsid w:val="00885C89"/>
    <w:rsid w:val="00885D6A"/>
    <w:rsid w:val="0088696D"/>
    <w:rsid w:val="00886C87"/>
    <w:rsid w:val="00887178"/>
    <w:rsid w:val="00890C9B"/>
    <w:rsid w:val="00891F7D"/>
    <w:rsid w:val="008922F2"/>
    <w:rsid w:val="00893EC4"/>
    <w:rsid w:val="0089412E"/>
    <w:rsid w:val="00895B47"/>
    <w:rsid w:val="00895BE3"/>
    <w:rsid w:val="0089737B"/>
    <w:rsid w:val="008A051D"/>
    <w:rsid w:val="008A0AF9"/>
    <w:rsid w:val="008A17AE"/>
    <w:rsid w:val="008A1D9A"/>
    <w:rsid w:val="008A243B"/>
    <w:rsid w:val="008A274A"/>
    <w:rsid w:val="008A4208"/>
    <w:rsid w:val="008A520D"/>
    <w:rsid w:val="008A551E"/>
    <w:rsid w:val="008A5EAF"/>
    <w:rsid w:val="008A75EB"/>
    <w:rsid w:val="008A77BE"/>
    <w:rsid w:val="008B0DED"/>
    <w:rsid w:val="008B3112"/>
    <w:rsid w:val="008B35FB"/>
    <w:rsid w:val="008B3FA6"/>
    <w:rsid w:val="008B588C"/>
    <w:rsid w:val="008B5D15"/>
    <w:rsid w:val="008C0E70"/>
    <w:rsid w:val="008C1562"/>
    <w:rsid w:val="008C2274"/>
    <w:rsid w:val="008C4CB1"/>
    <w:rsid w:val="008C552F"/>
    <w:rsid w:val="008C6E30"/>
    <w:rsid w:val="008D0C96"/>
    <w:rsid w:val="008D186F"/>
    <w:rsid w:val="008D2FAD"/>
    <w:rsid w:val="008D3473"/>
    <w:rsid w:val="008D5DAE"/>
    <w:rsid w:val="008D5E6C"/>
    <w:rsid w:val="008D6AA6"/>
    <w:rsid w:val="008D79F7"/>
    <w:rsid w:val="008E15BA"/>
    <w:rsid w:val="008E5896"/>
    <w:rsid w:val="008E7A5A"/>
    <w:rsid w:val="008F03AC"/>
    <w:rsid w:val="008F07AA"/>
    <w:rsid w:val="008F5885"/>
    <w:rsid w:val="008F6582"/>
    <w:rsid w:val="008F698B"/>
    <w:rsid w:val="00905B1D"/>
    <w:rsid w:val="00905D49"/>
    <w:rsid w:val="0091278D"/>
    <w:rsid w:val="00912EA2"/>
    <w:rsid w:val="009141AF"/>
    <w:rsid w:val="00915095"/>
    <w:rsid w:val="00915169"/>
    <w:rsid w:val="0091553C"/>
    <w:rsid w:val="00915BE7"/>
    <w:rsid w:val="009200E7"/>
    <w:rsid w:val="00920279"/>
    <w:rsid w:val="009211CB"/>
    <w:rsid w:val="00921DAF"/>
    <w:rsid w:val="00922ACE"/>
    <w:rsid w:val="00924CD8"/>
    <w:rsid w:val="00924D06"/>
    <w:rsid w:val="00925688"/>
    <w:rsid w:val="009274FC"/>
    <w:rsid w:val="00927E45"/>
    <w:rsid w:val="009306E8"/>
    <w:rsid w:val="00933238"/>
    <w:rsid w:val="009332EC"/>
    <w:rsid w:val="009353BB"/>
    <w:rsid w:val="009357A6"/>
    <w:rsid w:val="00936CAB"/>
    <w:rsid w:val="009379DE"/>
    <w:rsid w:val="0094106E"/>
    <w:rsid w:val="009437A1"/>
    <w:rsid w:val="00943FA0"/>
    <w:rsid w:val="009446EB"/>
    <w:rsid w:val="00946422"/>
    <w:rsid w:val="009477BB"/>
    <w:rsid w:val="009478C4"/>
    <w:rsid w:val="00951DFC"/>
    <w:rsid w:val="0095223B"/>
    <w:rsid w:val="00952247"/>
    <w:rsid w:val="00953ED8"/>
    <w:rsid w:val="0095507E"/>
    <w:rsid w:val="009577C4"/>
    <w:rsid w:val="00960D21"/>
    <w:rsid w:val="009617E5"/>
    <w:rsid w:val="00962011"/>
    <w:rsid w:val="00962037"/>
    <w:rsid w:val="00962ADC"/>
    <w:rsid w:val="009677D7"/>
    <w:rsid w:val="00967B7C"/>
    <w:rsid w:val="00971316"/>
    <w:rsid w:val="00971F2F"/>
    <w:rsid w:val="00972B87"/>
    <w:rsid w:val="009762F4"/>
    <w:rsid w:val="00977F68"/>
    <w:rsid w:val="00980415"/>
    <w:rsid w:val="00980915"/>
    <w:rsid w:val="009827D6"/>
    <w:rsid w:val="00983849"/>
    <w:rsid w:val="00984B2D"/>
    <w:rsid w:val="00990625"/>
    <w:rsid w:val="00990A9F"/>
    <w:rsid w:val="00990B97"/>
    <w:rsid w:val="009924A4"/>
    <w:rsid w:val="00992875"/>
    <w:rsid w:val="00992E2A"/>
    <w:rsid w:val="009931AD"/>
    <w:rsid w:val="00996314"/>
    <w:rsid w:val="00996644"/>
    <w:rsid w:val="00997778"/>
    <w:rsid w:val="009A4C5B"/>
    <w:rsid w:val="009A4E40"/>
    <w:rsid w:val="009A5998"/>
    <w:rsid w:val="009A5D93"/>
    <w:rsid w:val="009A61C4"/>
    <w:rsid w:val="009A6E55"/>
    <w:rsid w:val="009A73DC"/>
    <w:rsid w:val="009A74C7"/>
    <w:rsid w:val="009B18E5"/>
    <w:rsid w:val="009B1C65"/>
    <w:rsid w:val="009B3284"/>
    <w:rsid w:val="009B3C78"/>
    <w:rsid w:val="009B4C2E"/>
    <w:rsid w:val="009C01BD"/>
    <w:rsid w:val="009C0D31"/>
    <w:rsid w:val="009C4DD0"/>
    <w:rsid w:val="009C6F78"/>
    <w:rsid w:val="009D0F31"/>
    <w:rsid w:val="009D4C65"/>
    <w:rsid w:val="009D63FF"/>
    <w:rsid w:val="009E1AB2"/>
    <w:rsid w:val="009E6397"/>
    <w:rsid w:val="009E6A07"/>
    <w:rsid w:val="009E76C0"/>
    <w:rsid w:val="009F071F"/>
    <w:rsid w:val="009F125C"/>
    <w:rsid w:val="009F13D7"/>
    <w:rsid w:val="009F157F"/>
    <w:rsid w:val="009F163E"/>
    <w:rsid w:val="009F1A5A"/>
    <w:rsid w:val="009F36C1"/>
    <w:rsid w:val="009F437F"/>
    <w:rsid w:val="009F4483"/>
    <w:rsid w:val="009F76A4"/>
    <w:rsid w:val="00A005F2"/>
    <w:rsid w:val="00A01E2C"/>
    <w:rsid w:val="00A01FFD"/>
    <w:rsid w:val="00A0259E"/>
    <w:rsid w:val="00A06DA1"/>
    <w:rsid w:val="00A10687"/>
    <w:rsid w:val="00A10F28"/>
    <w:rsid w:val="00A1770E"/>
    <w:rsid w:val="00A20A2D"/>
    <w:rsid w:val="00A22813"/>
    <w:rsid w:val="00A229AA"/>
    <w:rsid w:val="00A260CC"/>
    <w:rsid w:val="00A26E35"/>
    <w:rsid w:val="00A30E0E"/>
    <w:rsid w:val="00A33BDF"/>
    <w:rsid w:val="00A34F04"/>
    <w:rsid w:val="00A37970"/>
    <w:rsid w:val="00A40AD0"/>
    <w:rsid w:val="00A40B17"/>
    <w:rsid w:val="00A41A73"/>
    <w:rsid w:val="00A4285B"/>
    <w:rsid w:val="00A45C32"/>
    <w:rsid w:val="00A50894"/>
    <w:rsid w:val="00A5125F"/>
    <w:rsid w:val="00A51A5F"/>
    <w:rsid w:val="00A5365B"/>
    <w:rsid w:val="00A53D1D"/>
    <w:rsid w:val="00A544EB"/>
    <w:rsid w:val="00A56D2C"/>
    <w:rsid w:val="00A56FAA"/>
    <w:rsid w:val="00A61FB5"/>
    <w:rsid w:val="00A62A97"/>
    <w:rsid w:val="00A62AAB"/>
    <w:rsid w:val="00A65248"/>
    <w:rsid w:val="00A67A3F"/>
    <w:rsid w:val="00A73B5F"/>
    <w:rsid w:val="00A763B1"/>
    <w:rsid w:val="00A8025A"/>
    <w:rsid w:val="00A81A7F"/>
    <w:rsid w:val="00A81BD3"/>
    <w:rsid w:val="00A82F39"/>
    <w:rsid w:val="00A82FA0"/>
    <w:rsid w:val="00A83898"/>
    <w:rsid w:val="00A84D6E"/>
    <w:rsid w:val="00A863B7"/>
    <w:rsid w:val="00A8774C"/>
    <w:rsid w:val="00A91260"/>
    <w:rsid w:val="00A914A0"/>
    <w:rsid w:val="00A91B90"/>
    <w:rsid w:val="00AA3148"/>
    <w:rsid w:val="00AA46DB"/>
    <w:rsid w:val="00AA6080"/>
    <w:rsid w:val="00AA694A"/>
    <w:rsid w:val="00AB264B"/>
    <w:rsid w:val="00AB4955"/>
    <w:rsid w:val="00AB5300"/>
    <w:rsid w:val="00AB5B05"/>
    <w:rsid w:val="00AC0B53"/>
    <w:rsid w:val="00AC3309"/>
    <w:rsid w:val="00AC3F8F"/>
    <w:rsid w:val="00AC619B"/>
    <w:rsid w:val="00AC722D"/>
    <w:rsid w:val="00AC7F05"/>
    <w:rsid w:val="00AD1E0D"/>
    <w:rsid w:val="00AD1F1A"/>
    <w:rsid w:val="00AD21E1"/>
    <w:rsid w:val="00AD30EB"/>
    <w:rsid w:val="00AD31B4"/>
    <w:rsid w:val="00AD5D79"/>
    <w:rsid w:val="00AD6A42"/>
    <w:rsid w:val="00AD740C"/>
    <w:rsid w:val="00AD7AC6"/>
    <w:rsid w:val="00AE01F8"/>
    <w:rsid w:val="00AE0969"/>
    <w:rsid w:val="00AE2D75"/>
    <w:rsid w:val="00AE54A0"/>
    <w:rsid w:val="00AE6E7C"/>
    <w:rsid w:val="00AF2604"/>
    <w:rsid w:val="00AF367B"/>
    <w:rsid w:val="00AF6938"/>
    <w:rsid w:val="00AF7C4D"/>
    <w:rsid w:val="00B02646"/>
    <w:rsid w:val="00B04551"/>
    <w:rsid w:val="00B0465D"/>
    <w:rsid w:val="00B058AE"/>
    <w:rsid w:val="00B10DA1"/>
    <w:rsid w:val="00B11162"/>
    <w:rsid w:val="00B12C52"/>
    <w:rsid w:val="00B1367B"/>
    <w:rsid w:val="00B14AA9"/>
    <w:rsid w:val="00B158D2"/>
    <w:rsid w:val="00B21952"/>
    <w:rsid w:val="00B222CF"/>
    <w:rsid w:val="00B241DD"/>
    <w:rsid w:val="00B24A2B"/>
    <w:rsid w:val="00B30E07"/>
    <w:rsid w:val="00B31025"/>
    <w:rsid w:val="00B3161D"/>
    <w:rsid w:val="00B335F6"/>
    <w:rsid w:val="00B3365C"/>
    <w:rsid w:val="00B357AE"/>
    <w:rsid w:val="00B37B07"/>
    <w:rsid w:val="00B41176"/>
    <w:rsid w:val="00B421FC"/>
    <w:rsid w:val="00B44273"/>
    <w:rsid w:val="00B45761"/>
    <w:rsid w:val="00B45D41"/>
    <w:rsid w:val="00B460DD"/>
    <w:rsid w:val="00B46462"/>
    <w:rsid w:val="00B47D85"/>
    <w:rsid w:val="00B54063"/>
    <w:rsid w:val="00B56F5F"/>
    <w:rsid w:val="00B570FD"/>
    <w:rsid w:val="00B61D04"/>
    <w:rsid w:val="00B624F3"/>
    <w:rsid w:val="00B62B4E"/>
    <w:rsid w:val="00B62DE0"/>
    <w:rsid w:val="00B6358D"/>
    <w:rsid w:val="00B66068"/>
    <w:rsid w:val="00B701B1"/>
    <w:rsid w:val="00B71478"/>
    <w:rsid w:val="00B72C50"/>
    <w:rsid w:val="00B75C94"/>
    <w:rsid w:val="00B76212"/>
    <w:rsid w:val="00B80175"/>
    <w:rsid w:val="00B80494"/>
    <w:rsid w:val="00B8116E"/>
    <w:rsid w:val="00B831F0"/>
    <w:rsid w:val="00B84CAD"/>
    <w:rsid w:val="00B86E1C"/>
    <w:rsid w:val="00B91F77"/>
    <w:rsid w:val="00B947A8"/>
    <w:rsid w:val="00B948DB"/>
    <w:rsid w:val="00B94AC1"/>
    <w:rsid w:val="00B95160"/>
    <w:rsid w:val="00B95AEC"/>
    <w:rsid w:val="00B96BF5"/>
    <w:rsid w:val="00BA0B93"/>
    <w:rsid w:val="00BB03F1"/>
    <w:rsid w:val="00BB1E84"/>
    <w:rsid w:val="00BB5AF9"/>
    <w:rsid w:val="00BB7073"/>
    <w:rsid w:val="00BC0779"/>
    <w:rsid w:val="00BC1208"/>
    <w:rsid w:val="00BC1B6D"/>
    <w:rsid w:val="00BC40C3"/>
    <w:rsid w:val="00BC4ECF"/>
    <w:rsid w:val="00BC74A6"/>
    <w:rsid w:val="00BD0410"/>
    <w:rsid w:val="00BD1281"/>
    <w:rsid w:val="00BD2061"/>
    <w:rsid w:val="00BD2963"/>
    <w:rsid w:val="00BD39AA"/>
    <w:rsid w:val="00BD667C"/>
    <w:rsid w:val="00BD703F"/>
    <w:rsid w:val="00BD7510"/>
    <w:rsid w:val="00BD7A06"/>
    <w:rsid w:val="00BE09B5"/>
    <w:rsid w:val="00BE46DE"/>
    <w:rsid w:val="00BE4F07"/>
    <w:rsid w:val="00BF066D"/>
    <w:rsid w:val="00BF0913"/>
    <w:rsid w:val="00BF1D6E"/>
    <w:rsid w:val="00BF2F5D"/>
    <w:rsid w:val="00BF450C"/>
    <w:rsid w:val="00BF5513"/>
    <w:rsid w:val="00BF6A28"/>
    <w:rsid w:val="00BF6B25"/>
    <w:rsid w:val="00C00F42"/>
    <w:rsid w:val="00C029E0"/>
    <w:rsid w:val="00C03CAB"/>
    <w:rsid w:val="00C05955"/>
    <w:rsid w:val="00C069F3"/>
    <w:rsid w:val="00C06D1E"/>
    <w:rsid w:val="00C0756F"/>
    <w:rsid w:val="00C103BC"/>
    <w:rsid w:val="00C10CCE"/>
    <w:rsid w:val="00C123CE"/>
    <w:rsid w:val="00C12486"/>
    <w:rsid w:val="00C1572F"/>
    <w:rsid w:val="00C1752B"/>
    <w:rsid w:val="00C175A1"/>
    <w:rsid w:val="00C2249B"/>
    <w:rsid w:val="00C2292F"/>
    <w:rsid w:val="00C245D7"/>
    <w:rsid w:val="00C26401"/>
    <w:rsid w:val="00C26940"/>
    <w:rsid w:val="00C3068D"/>
    <w:rsid w:val="00C307BE"/>
    <w:rsid w:val="00C30C0D"/>
    <w:rsid w:val="00C34AE1"/>
    <w:rsid w:val="00C40DC6"/>
    <w:rsid w:val="00C426D8"/>
    <w:rsid w:val="00C44FAB"/>
    <w:rsid w:val="00C44FC2"/>
    <w:rsid w:val="00C45F06"/>
    <w:rsid w:val="00C468D7"/>
    <w:rsid w:val="00C4752B"/>
    <w:rsid w:val="00C50458"/>
    <w:rsid w:val="00C5105D"/>
    <w:rsid w:val="00C5206D"/>
    <w:rsid w:val="00C52CCC"/>
    <w:rsid w:val="00C545AF"/>
    <w:rsid w:val="00C5628D"/>
    <w:rsid w:val="00C60A53"/>
    <w:rsid w:val="00C60CE4"/>
    <w:rsid w:val="00C61E74"/>
    <w:rsid w:val="00C633ED"/>
    <w:rsid w:val="00C65A86"/>
    <w:rsid w:val="00C676C4"/>
    <w:rsid w:val="00C67CCC"/>
    <w:rsid w:val="00C7005A"/>
    <w:rsid w:val="00C73244"/>
    <w:rsid w:val="00C771DE"/>
    <w:rsid w:val="00C80229"/>
    <w:rsid w:val="00C8259C"/>
    <w:rsid w:val="00C82F31"/>
    <w:rsid w:val="00C82F3B"/>
    <w:rsid w:val="00C847D5"/>
    <w:rsid w:val="00C86385"/>
    <w:rsid w:val="00C86F02"/>
    <w:rsid w:val="00C87022"/>
    <w:rsid w:val="00C906AA"/>
    <w:rsid w:val="00C90B0A"/>
    <w:rsid w:val="00C91352"/>
    <w:rsid w:val="00C937DB"/>
    <w:rsid w:val="00C9438B"/>
    <w:rsid w:val="00C947CD"/>
    <w:rsid w:val="00C9622E"/>
    <w:rsid w:val="00C969CE"/>
    <w:rsid w:val="00C96CD3"/>
    <w:rsid w:val="00C97A59"/>
    <w:rsid w:val="00C97AC0"/>
    <w:rsid w:val="00CA3D0D"/>
    <w:rsid w:val="00CA4F8B"/>
    <w:rsid w:val="00CA53C5"/>
    <w:rsid w:val="00CA58F8"/>
    <w:rsid w:val="00CA66E2"/>
    <w:rsid w:val="00CA734A"/>
    <w:rsid w:val="00CB1340"/>
    <w:rsid w:val="00CB4648"/>
    <w:rsid w:val="00CB4820"/>
    <w:rsid w:val="00CB6B7F"/>
    <w:rsid w:val="00CB7C8A"/>
    <w:rsid w:val="00CC1376"/>
    <w:rsid w:val="00CC6C8D"/>
    <w:rsid w:val="00CD1BF6"/>
    <w:rsid w:val="00CD2A26"/>
    <w:rsid w:val="00CD5A04"/>
    <w:rsid w:val="00CD781F"/>
    <w:rsid w:val="00CE5E01"/>
    <w:rsid w:val="00CF0AD7"/>
    <w:rsid w:val="00CF0B8E"/>
    <w:rsid w:val="00CF11C7"/>
    <w:rsid w:val="00CF1D90"/>
    <w:rsid w:val="00CF4811"/>
    <w:rsid w:val="00CF73B8"/>
    <w:rsid w:val="00D0089A"/>
    <w:rsid w:val="00D00D58"/>
    <w:rsid w:val="00D011ED"/>
    <w:rsid w:val="00D04B95"/>
    <w:rsid w:val="00D04E80"/>
    <w:rsid w:val="00D0522F"/>
    <w:rsid w:val="00D05BB9"/>
    <w:rsid w:val="00D078AF"/>
    <w:rsid w:val="00D12618"/>
    <w:rsid w:val="00D13630"/>
    <w:rsid w:val="00D139CB"/>
    <w:rsid w:val="00D13D14"/>
    <w:rsid w:val="00D1480C"/>
    <w:rsid w:val="00D1748F"/>
    <w:rsid w:val="00D2068A"/>
    <w:rsid w:val="00D212C3"/>
    <w:rsid w:val="00D23209"/>
    <w:rsid w:val="00D24E42"/>
    <w:rsid w:val="00D250E7"/>
    <w:rsid w:val="00D31556"/>
    <w:rsid w:val="00D35A1F"/>
    <w:rsid w:val="00D377C8"/>
    <w:rsid w:val="00D379AD"/>
    <w:rsid w:val="00D37A20"/>
    <w:rsid w:val="00D37A34"/>
    <w:rsid w:val="00D40691"/>
    <w:rsid w:val="00D41247"/>
    <w:rsid w:val="00D46BD9"/>
    <w:rsid w:val="00D50E8B"/>
    <w:rsid w:val="00D52B5C"/>
    <w:rsid w:val="00D56343"/>
    <w:rsid w:val="00D56432"/>
    <w:rsid w:val="00D56C15"/>
    <w:rsid w:val="00D5768B"/>
    <w:rsid w:val="00D60026"/>
    <w:rsid w:val="00D70AA4"/>
    <w:rsid w:val="00D71939"/>
    <w:rsid w:val="00D735A1"/>
    <w:rsid w:val="00D75CC8"/>
    <w:rsid w:val="00D762B9"/>
    <w:rsid w:val="00D77367"/>
    <w:rsid w:val="00D822CD"/>
    <w:rsid w:val="00D84760"/>
    <w:rsid w:val="00D87E8E"/>
    <w:rsid w:val="00D90238"/>
    <w:rsid w:val="00D90825"/>
    <w:rsid w:val="00D90F01"/>
    <w:rsid w:val="00D925C5"/>
    <w:rsid w:val="00D9406E"/>
    <w:rsid w:val="00D94F65"/>
    <w:rsid w:val="00D950C1"/>
    <w:rsid w:val="00DA2D35"/>
    <w:rsid w:val="00DA2F53"/>
    <w:rsid w:val="00DA582F"/>
    <w:rsid w:val="00DA6227"/>
    <w:rsid w:val="00DA7414"/>
    <w:rsid w:val="00DB132A"/>
    <w:rsid w:val="00DB13B5"/>
    <w:rsid w:val="00DB193F"/>
    <w:rsid w:val="00DB1A61"/>
    <w:rsid w:val="00DB248B"/>
    <w:rsid w:val="00DB336F"/>
    <w:rsid w:val="00DB4AE7"/>
    <w:rsid w:val="00DC03E8"/>
    <w:rsid w:val="00DC129C"/>
    <w:rsid w:val="00DC46A8"/>
    <w:rsid w:val="00DC6760"/>
    <w:rsid w:val="00DD19E6"/>
    <w:rsid w:val="00DD29B4"/>
    <w:rsid w:val="00DD2CF5"/>
    <w:rsid w:val="00DD342F"/>
    <w:rsid w:val="00DD58D6"/>
    <w:rsid w:val="00DE1637"/>
    <w:rsid w:val="00DE32FE"/>
    <w:rsid w:val="00DE5BC8"/>
    <w:rsid w:val="00DE60D8"/>
    <w:rsid w:val="00DE7004"/>
    <w:rsid w:val="00DF25F9"/>
    <w:rsid w:val="00DF26FD"/>
    <w:rsid w:val="00DF3B74"/>
    <w:rsid w:val="00E00DEC"/>
    <w:rsid w:val="00E01450"/>
    <w:rsid w:val="00E027DC"/>
    <w:rsid w:val="00E03FC1"/>
    <w:rsid w:val="00E0536A"/>
    <w:rsid w:val="00E05C91"/>
    <w:rsid w:val="00E06DC2"/>
    <w:rsid w:val="00E12215"/>
    <w:rsid w:val="00E12D95"/>
    <w:rsid w:val="00E14FC3"/>
    <w:rsid w:val="00E172E1"/>
    <w:rsid w:val="00E2026C"/>
    <w:rsid w:val="00E219D6"/>
    <w:rsid w:val="00E25A96"/>
    <w:rsid w:val="00E25C41"/>
    <w:rsid w:val="00E2634E"/>
    <w:rsid w:val="00E27E63"/>
    <w:rsid w:val="00E31886"/>
    <w:rsid w:val="00E330C8"/>
    <w:rsid w:val="00E36CFE"/>
    <w:rsid w:val="00E37772"/>
    <w:rsid w:val="00E37AA8"/>
    <w:rsid w:val="00E44E21"/>
    <w:rsid w:val="00E45EBE"/>
    <w:rsid w:val="00E45FDE"/>
    <w:rsid w:val="00E5028A"/>
    <w:rsid w:val="00E52765"/>
    <w:rsid w:val="00E5360E"/>
    <w:rsid w:val="00E5387F"/>
    <w:rsid w:val="00E53AA8"/>
    <w:rsid w:val="00E57D44"/>
    <w:rsid w:val="00E60912"/>
    <w:rsid w:val="00E61512"/>
    <w:rsid w:val="00E633B3"/>
    <w:rsid w:val="00E644A6"/>
    <w:rsid w:val="00E65750"/>
    <w:rsid w:val="00E65D3C"/>
    <w:rsid w:val="00E66159"/>
    <w:rsid w:val="00E71258"/>
    <w:rsid w:val="00E71B5C"/>
    <w:rsid w:val="00E738BF"/>
    <w:rsid w:val="00E73F39"/>
    <w:rsid w:val="00E74AB1"/>
    <w:rsid w:val="00E75718"/>
    <w:rsid w:val="00E76598"/>
    <w:rsid w:val="00E76F13"/>
    <w:rsid w:val="00E77CF1"/>
    <w:rsid w:val="00E8123A"/>
    <w:rsid w:val="00E81EEE"/>
    <w:rsid w:val="00E82B18"/>
    <w:rsid w:val="00E82F59"/>
    <w:rsid w:val="00E83054"/>
    <w:rsid w:val="00E83AB5"/>
    <w:rsid w:val="00E866FD"/>
    <w:rsid w:val="00E9017D"/>
    <w:rsid w:val="00E90395"/>
    <w:rsid w:val="00E9142D"/>
    <w:rsid w:val="00E91C88"/>
    <w:rsid w:val="00E9463F"/>
    <w:rsid w:val="00E97E23"/>
    <w:rsid w:val="00EA0F91"/>
    <w:rsid w:val="00EA18A5"/>
    <w:rsid w:val="00EA26D9"/>
    <w:rsid w:val="00EA29DF"/>
    <w:rsid w:val="00EA5561"/>
    <w:rsid w:val="00EA645E"/>
    <w:rsid w:val="00EA7622"/>
    <w:rsid w:val="00EA7871"/>
    <w:rsid w:val="00EA7990"/>
    <w:rsid w:val="00EB0442"/>
    <w:rsid w:val="00EB07FE"/>
    <w:rsid w:val="00EB1A0D"/>
    <w:rsid w:val="00EB4590"/>
    <w:rsid w:val="00EB6D11"/>
    <w:rsid w:val="00EB79F1"/>
    <w:rsid w:val="00EC5EF2"/>
    <w:rsid w:val="00EC6CCF"/>
    <w:rsid w:val="00ED45F8"/>
    <w:rsid w:val="00ED58AF"/>
    <w:rsid w:val="00ED6AFB"/>
    <w:rsid w:val="00EE2D42"/>
    <w:rsid w:val="00EE352E"/>
    <w:rsid w:val="00EE4DF0"/>
    <w:rsid w:val="00EE507B"/>
    <w:rsid w:val="00EE5C06"/>
    <w:rsid w:val="00EF3766"/>
    <w:rsid w:val="00EF4440"/>
    <w:rsid w:val="00EF49C3"/>
    <w:rsid w:val="00EF6FA5"/>
    <w:rsid w:val="00F005B9"/>
    <w:rsid w:val="00F01D7A"/>
    <w:rsid w:val="00F0353E"/>
    <w:rsid w:val="00F039AD"/>
    <w:rsid w:val="00F05FBC"/>
    <w:rsid w:val="00F0604F"/>
    <w:rsid w:val="00F06612"/>
    <w:rsid w:val="00F066DA"/>
    <w:rsid w:val="00F067CC"/>
    <w:rsid w:val="00F076E1"/>
    <w:rsid w:val="00F118B4"/>
    <w:rsid w:val="00F11AA9"/>
    <w:rsid w:val="00F1371C"/>
    <w:rsid w:val="00F16745"/>
    <w:rsid w:val="00F226EB"/>
    <w:rsid w:val="00F251EA"/>
    <w:rsid w:val="00F26B25"/>
    <w:rsid w:val="00F31278"/>
    <w:rsid w:val="00F32EC1"/>
    <w:rsid w:val="00F33548"/>
    <w:rsid w:val="00F33611"/>
    <w:rsid w:val="00F34826"/>
    <w:rsid w:val="00F375A3"/>
    <w:rsid w:val="00F4032B"/>
    <w:rsid w:val="00F4182F"/>
    <w:rsid w:val="00F41D88"/>
    <w:rsid w:val="00F420A3"/>
    <w:rsid w:val="00F42238"/>
    <w:rsid w:val="00F42D60"/>
    <w:rsid w:val="00F4357A"/>
    <w:rsid w:val="00F440B5"/>
    <w:rsid w:val="00F467EF"/>
    <w:rsid w:val="00F479E5"/>
    <w:rsid w:val="00F47B9E"/>
    <w:rsid w:val="00F519B3"/>
    <w:rsid w:val="00F51EFC"/>
    <w:rsid w:val="00F5200A"/>
    <w:rsid w:val="00F52A81"/>
    <w:rsid w:val="00F549CB"/>
    <w:rsid w:val="00F554A9"/>
    <w:rsid w:val="00F5791C"/>
    <w:rsid w:val="00F61F1D"/>
    <w:rsid w:val="00F6357C"/>
    <w:rsid w:val="00F63A08"/>
    <w:rsid w:val="00F6779E"/>
    <w:rsid w:val="00F67BC4"/>
    <w:rsid w:val="00F67F26"/>
    <w:rsid w:val="00F70DBE"/>
    <w:rsid w:val="00F733B5"/>
    <w:rsid w:val="00F753CA"/>
    <w:rsid w:val="00F75A9B"/>
    <w:rsid w:val="00F75F7C"/>
    <w:rsid w:val="00F8313F"/>
    <w:rsid w:val="00F900E1"/>
    <w:rsid w:val="00F91548"/>
    <w:rsid w:val="00F93D55"/>
    <w:rsid w:val="00F95649"/>
    <w:rsid w:val="00F958E1"/>
    <w:rsid w:val="00F95DCA"/>
    <w:rsid w:val="00F9797C"/>
    <w:rsid w:val="00FA0582"/>
    <w:rsid w:val="00FA11EF"/>
    <w:rsid w:val="00FA126F"/>
    <w:rsid w:val="00FA14D8"/>
    <w:rsid w:val="00FA1739"/>
    <w:rsid w:val="00FA1910"/>
    <w:rsid w:val="00FA19A0"/>
    <w:rsid w:val="00FA19D2"/>
    <w:rsid w:val="00FA2EA5"/>
    <w:rsid w:val="00FA55D2"/>
    <w:rsid w:val="00FA5C2A"/>
    <w:rsid w:val="00FA627D"/>
    <w:rsid w:val="00FA716D"/>
    <w:rsid w:val="00FB092D"/>
    <w:rsid w:val="00FB1AB2"/>
    <w:rsid w:val="00FB5006"/>
    <w:rsid w:val="00FB57D5"/>
    <w:rsid w:val="00FB6D3C"/>
    <w:rsid w:val="00FB76FB"/>
    <w:rsid w:val="00FC118E"/>
    <w:rsid w:val="00FC1C1B"/>
    <w:rsid w:val="00FC35CD"/>
    <w:rsid w:val="00FD1614"/>
    <w:rsid w:val="00FD29B6"/>
    <w:rsid w:val="00FD2C5C"/>
    <w:rsid w:val="00FD2C75"/>
    <w:rsid w:val="00FD35EE"/>
    <w:rsid w:val="00FD6F61"/>
    <w:rsid w:val="00FD73A7"/>
    <w:rsid w:val="00FE1FD6"/>
    <w:rsid w:val="00FE2E11"/>
    <w:rsid w:val="00FE2F6A"/>
    <w:rsid w:val="00FE4464"/>
    <w:rsid w:val="00FE5882"/>
    <w:rsid w:val="00FE6111"/>
    <w:rsid w:val="00FE67F7"/>
    <w:rsid w:val="00FE6DFF"/>
    <w:rsid w:val="00FF133F"/>
    <w:rsid w:val="00FF189F"/>
    <w:rsid w:val="00FF4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5CAEA9EC"/>
  <w15:chartTrackingRefBased/>
  <w15:docId w15:val="{E0CE65DA-536E-408B-9781-A9EB4FB5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80B3B"/>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E33D1"/>
    <w:pPr>
      <w:tabs>
        <w:tab w:val="center" w:pos="4153"/>
        <w:tab w:val="right" w:pos="8306"/>
      </w:tabs>
      <w:overflowPunct w:val="0"/>
      <w:autoSpaceDE w:val="0"/>
      <w:autoSpaceDN w:val="0"/>
      <w:adjustRightInd w:val="0"/>
    </w:pPr>
    <w:rPr>
      <w:rFonts w:eastAsia="Calibri"/>
      <w:szCs w:val="20"/>
      <w:lang w:val="en-GB" w:eastAsia="en-US"/>
    </w:rPr>
  </w:style>
  <w:style w:type="character" w:customStyle="1" w:styleId="AntratsDiagrama">
    <w:name w:val="Antraštės Diagrama"/>
    <w:link w:val="Antrats"/>
    <w:uiPriority w:val="99"/>
    <w:locked/>
    <w:rsid w:val="000E33D1"/>
    <w:rPr>
      <w:rFonts w:eastAsia="Calibri"/>
      <w:sz w:val="24"/>
      <w:lang w:val="en-GB" w:eastAsia="en-US" w:bidi="ar-SA"/>
    </w:rPr>
  </w:style>
  <w:style w:type="paragraph" w:customStyle="1" w:styleId="ISTATYMAS">
    <w:name w:val="ISTATYMAS"/>
    <w:basedOn w:val="prastasis"/>
    <w:link w:val="ISTATYMASDiagrama"/>
    <w:rsid w:val="000E33D1"/>
    <w:pPr>
      <w:keepLines/>
      <w:suppressAutoHyphens/>
      <w:autoSpaceDE w:val="0"/>
      <w:autoSpaceDN w:val="0"/>
      <w:adjustRightInd w:val="0"/>
      <w:spacing w:line="288" w:lineRule="auto"/>
      <w:jc w:val="center"/>
      <w:textAlignment w:val="center"/>
    </w:pPr>
    <w:rPr>
      <w:color w:val="000000"/>
      <w:sz w:val="20"/>
      <w:szCs w:val="20"/>
      <w:lang w:eastAsia="en-US"/>
    </w:rPr>
  </w:style>
  <w:style w:type="character" w:customStyle="1" w:styleId="ISTATYMASDiagrama">
    <w:name w:val="ISTATYMAS Diagrama"/>
    <w:link w:val="ISTATYMAS"/>
    <w:rsid w:val="000E33D1"/>
    <w:rPr>
      <w:color w:val="000000"/>
      <w:lang w:val="lt-LT" w:eastAsia="en-US" w:bidi="ar-SA"/>
    </w:rPr>
  </w:style>
  <w:style w:type="character" w:styleId="Puslapionumeris">
    <w:name w:val="page number"/>
    <w:basedOn w:val="Numatytasispastraiposriftas"/>
    <w:rsid w:val="000E33D1"/>
  </w:style>
  <w:style w:type="character" w:customStyle="1" w:styleId="st">
    <w:name w:val="st"/>
    <w:rsid w:val="000E33D1"/>
    <w:rPr>
      <w:rFonts w:cs="Times New Roman"/>
    </w:rPr>
  </w:style>
  <w:style w:type="paragraph" w:customStyle="1" w:styleId="CentrBold">
    <w:name w:val="CentrBold"/>
    <w:rsid w:val="000E33D1"/>
    <w:pPr>
      <w:jc w:val="center"/>
    </w:pPr>
    <w:rPr>
      <w:rFonts w:ascii="TimesLT" w:hAnsi="TimesLT"/>
      <w:b/>
      <w:caps/>
      <w:snapToGrid w:val="0"/>
      <w:lang w:val="en-US" w:eastAsia="en-US"/>
    </w:rPr>
  </w:style>
  <w:style w:type="paragraph" w:styleId="Komentarotekstas">
    <w:name w:val="annotation text"/>
    <w:basedOn w:val="prastasis"/>
    <w:link w:val="KomentarotekstasDiagrama"/>
    <w:semiHidden/>
    <w:rsid w:val="003A3D56"/>
    <w:rPr>
      <w:rFonts w:eastAsia="Calibri"/>
      <w:sz w:val="20"/>
      <w:szCs w:val="20"/>
      <w:lang w:eastAsia="en-US"/>
    </w:rPr>
  </w:style>
  <w:style w:type="character" w:customStyle="1" w:styleId="KomentarotekstasDiagrama">
    <w:name w:val="Komentaro tekstas Diagrama"/>
    <w:link w:val="Komentarotekstas"/>
    <w:semiHidden/>
    <w:locked/>
    <w:rsid w:val="003A3D56"/>
    <w:rPr>
      <w:rFonts w:eastAsia="Calibri"/>
      <w:lang w:val="lt-LT" w:eastAsia="en-US" w:bidi="ar-SA"/>
    </w:rPr>
  </w:style>
  <w:style w:type="table" w:styleId="Lentelstinklelis">
    <w:name w:val="Table Grid"/>
    <w:basedOn w:val="prastojilentel"/>
    <w:rsid w:val="003A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3A3D56"/>
    <w:rPr>
      <w:lang w:val="pl-PL" w:eastAsia="pl-PL"/>
    </w:rPr>
  </w:style>
  <w:style w:type="paragraph" w:styleId="Debesliotekstas">
    <w:name w:val="Balloon Text"/>
    <w:basedOn w:val="prastasis"/>
    <w:semiHidden/>
    <w:rsid w:val="003A3D56"/>
    <w:rPr>
      <w:rFonts w:ascii="Tahoma" w:hAnsi="Tahoma" w:cs="Tahoma"/>
      <w:sz w:val="16"/>
      <w:szCs w:val="16"/>
    </w:rPr>
  </w:style>
  <w:style w:type="paragraph" w:styleId="Porat">
    <w:name w:val="footer"/>
    <w:basedOn w:val="prastasis"/>
    <w:rsid w:val="003A3D56"/>
    <w:pPr>
      <w:tabs>
        <w:tab w:val="center" w:pos="4819"/>
        <w:tab w:val="right" w:pos="9638"/>
      </w:tabs>
    </w:pPr>
  </w:style>
  <w:style w:type="character" w:styleId="Komentaronuoroda">
    <w:name w:val="annotation reference"/>
    <w:uiPriority w:val="99"/>
    <w:rsid w:val="003A3D56"/>
    <w:rPr>
      <w:sz w:val="16"/>
      <w:szCs w:val="16"/>
    </w:rPr>
  </w:style>
  <w:style w:type="paragraph" w:styleId="Komentarotema">
    <w:name w:val="annotation subject"/>
    <w:basedOn w:val="Komentarotekstas"/>
    <w:next w:val="Komentarotekstas"/>
    <w:link w:val="KomentarotemaDiagrama"/>
    <w:rsid w:val="003A3D56"/>
    <w:rPr>
      <w:b/>
      <w:bCs/>
      <w:lang w:eastAsia="lt-LT"/>
    </w:rPr>
  </w:style>
  <w:style w:type="character" w:customStyle="1" w:styleId="KomentarotemaDiagrama">
    <w:name w:val="Komentaro tema Diagrama"/>
    <w:link w:val="Komentarotema"/>
    <w:rsid w:val="003A3D56"/>
    <w:rPr>
      <w:rFonts w:eastAsia="Calibri"/>
      <w:b/>
      <w:bCs/>
      <w:lang w:val="lt-LT" w:eastAsia="lt-LT" w:bidi="ar-SA"/>
    </w:rPr>
  </w:style>
  <w:style w:type="paragraph" w:customStyle="1" w:styleId="centrbold0">
    <w:name w:val="centrbold"/>
    <w:basedOn w:val="prastasis"/>
    <w:rsid w:val="003A3D56"/>
    <w:pPr>
      <w:spacing w:before="100" w:beforeAutospacing="1" w:after="100" w:afterAutospacing="1"/>
    </w:pPr>
  </w:style>
  <w:style w:type="paragraph" w:customStyle="1" w:styleId="bodytext">
    <w:name w:val="bodytext"/>
    <w:basedOn w:val="prastasis"/>
    <w:rsid w:val="003A3D56"/>
    <w:pPr>
      <w:spacing w:before="100" w:beforeAutospacing="1" w:after="100" w:afterAutospacing="1"/>
    </w:pPr>
  </w:style>
  <w:style w:type="paragraph" w:customStyle="1" w:styleId="istatymas0">
    <w:name w:val="istatymas"/>
    <w:basedOn w:val="prastasis"/>
    <w:rsid w:val="003A3D56"/>
    <w:pPr>
      <w:spacing w:before="100" w:beforeAutospacing="1" w:after="100" w:afterAutospacing="1"/>
    </w:pPr>
  </w:style>
  <w:style w:type="paragraph" w:customStyle="1" w:styleId="pavadinimas1">
    <w:name w:val="pavadinimas1"/>
    <w:basedOn w:val="prastasis"/>
    <w:rsid w:val="003A3D56"/>
    <w:pPr>
      <w:spacing w:before="100" w:beforeAutospacing="1" w:after="100" w:afterAutospacing="1"/>
    </w:pPr>
  </w:style>
  <w:style w:type="paragraph" w:styleId="Pavadinimas">
    <w:name w:val="Title"/>
    <w:basedOn w:val="prastasis"/>
    <w:qFormat/>
    <w:rsid w:val="003A3D56"/>
    <w:pPr>
      <w:spacing w:before="100" w:beforeAutospacing="1" w:after="100" w:afterAutospacing="1"/>
    </w:pPr>
  </w:style>
  <w:style w:type="paragraph" w:customStyle="1" w:styleId="pavadinimas0">
    <w:name w:val="pavadinimas"/>
    <w:basedOn w:val="prastasis"/>
    <w:rsid w:val="003A3D56"/>
    <w:pPr>
      <w:spacing w:before="100" w:beforeAutospacing="1" w:after="100" w:afterAutospacing="1"/>
    </w:pPr>
  </w:style>
  <w:style w:type="paragraph" w:styleId="Pagrindiniotekstotrauka">
    <w:name w:val="Body Text Indent"/>
    <w:basedOn w:val="prastasis"/>
    <w:rsid w:val="006E4A55"/>
    <w:pPr>
      <w:spacing w:after="120"/>
      <w:ind w:left="283"/>
    </w:pPr>
  </w:style>
  <w:style w:type="paragraph" w:styleId="Pagrindiniotekstopirmatrauka2">
    <w:name w:val="Body Text First Indent 2"/>
    <w:basedOn w:val="Pagrindiniotekstotrauka"/>
    <w:rsid w:val="006E4A55"/>
    <w:pPr>
      <w:ind w:firstLine="210"/>
    </w:pPr>
  </w:style>
  <w:style w:type="paragraph" w:styleId="Pataisymai">
    <w:name w:val="Revision"/>
    <w:hidden/>
    <w:uiPriority w:val="99"/>
    <w:semiHidden/>
    <w:rsid w:val="001D40FB"/>
    <w:rPr>
      <w:sz w:val="24"/>
      <w:szCs w:val="24"/>
    </w:rPr>
  </w:style>
  <w:style w:type="paragraph" w:styleId="prastasiniatinklio">
    <w:name w:val="Normal (Web)"/>
    <w:basedOn w:val="prastasis"/>
    <w:uiPriority w:val="99"/>
    <w:rsid w:val="00A56D2C"/>
    <w:pPr>
      <w:spacing w:before="100" w:beforeAutospacing="1" w:after="100" w:afterAutospacing="1" w:line="360" w:lineRule="auto"/>
      <w:jc w:val="both"/>
    </w:pPr>
    <w:rPr>
      <w:rFonts w:ascii="Arial Unicode MS" w:eastAsia="Arial Unicode MS" w:hAnsi="Arial Unicode MS" w:cs="Arial Unicode MS"/>
      <w:lang w:val="en-GB" w:eastAsia="en-US"/>
    </w:rPr>
  </w:style>
  <w:style w:type="paragraph" w:customStyle="1" w:styleId="patvirtinta">
    <w:name w:val="patvirtinta"/>
    <w:basedOn w:val="prastasis"/>
    <w:rsid w:val="00A56D2C"/>
    <w:pPr>
      <w:spacing w:before="100" w:beforeAutospacing="1" w:after="100" w:afterAutospacing="1" w:line="360" w:lineRule="auto"/>
      <w:jc w:val="both"/>
    </w:pPr>
  </w:style>
  <w:style w:type="table" w:styleId="LentelTinklelis1">
    <w:name w:val="Table Grid 1"/>
    <w:basedOn w:val="prastojilentel"/>
    <w:rsid w:val="001A2B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4paprastojilentel">
    <w:name w:val="Plain Table 4"/>
    <w:basedOn w:val="prastojilentel"/>
    <w:uiPriority w:val="44"/>
    <w:rsid w:val="001A2BA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raopastraipa">
    <w:name w:val="List Paragraph"/>
    <w:basedOn w:val="prastasis"/>
    <w:link w:val="SraopastraipaDiagrama"/>
    <w:uiPriority w:val="34"/>
    <w:qFormat/>
    <w:rsid w:val="009B3C78"/>
    <w:pPr>
      <w:spacing w:after="200" w:line="276" w:lineRule="auto"/>
      <w:ind w:left="720"/>
      <w:contextualSpacing/>
    </w:pPr>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B56F5F"/>
    <w:rPr>
      <w:rFonts w:ascii="Calibri" w:eastAsia="Calibri" w:hAnsi="Calibri"/>
      <w:sz w:val="22"/>
      <w:szCs w:val="21"/>
      <w:lang w:eastAsia="en-US"/>
    </w:rPr>
  </w:style>
  <w:style w:type="character" w:customStyle="1" w:styleId="PaprastasistekstasDiagrama">
    <w:name w:val="Paprastasis tekstas Diagrama"/>
    <w:link w:val="Paprastasistekstas"/>
    <w:uiPriority w:val="99"/>
    <w:rsid w:val="00B56F5F"/>
    <w:rPr>
      <w:rFonts w:ascii="Calibri" w:eastAsia="Calibri" w:hAnsi="Calibri"/>
      <w:sz w:val="22"/>
      <w:szCs w:val="21"/>
      <w:lang w:eastAsia="en-US"/>
    </w:rPr>
  </w:style>
  <w:style w:type="character" w:customStyle="1" w:styleId="SraopastraipaDiagrama">
    <w:name w:val="Sąrašo pastraipa Diagrama"/>
    <w:link w:val="Sraopastraipa"/>
    <w:uiPriority w:val="34"/>
    <w:locked/>
    <w:rsid w:val="00B948D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210">
      <w:bodyDiv w:val="1"/>
      <w:marLeft w:val="0"/>
      <w:marRight w:val="0"/>
      <w:marTop w:val="0"/>
      <w:marBottom w:val="0"/>
      <w:divBdr>
        <w:top w:val="none" w:sz="0" w:space="0" w:color="auto"/>
        <w:left w:val="none" w:sz="0" w:space="0" w:color="auto"/>
        <w:bottom w:val="none" w:sz="0" w:space="0" w:color="auto"/>
        <w:right w:val="none" w:sz="0" w:space="0" w:color="auto"/>
      </w:divBdr>
    </w:div>
    <w:div w:id="31342944">
      <w:bodyDiv w:val="1"/>
      <w:marLeft w:val="188"/>
      <w:marRight w:val="188"/>
      <w:marTop w:val="0"/>
      <w:marBottom w:val="0"/>
      <w:divBdr>
        <w:top w:val="none" w:sz="0" w:space="0" w:color="auto"/>
        <w:left w:val="none" w:sz="0" w:space="0" w:color="auto"/>
        <w:bottom w:val="none" w:sz="0" w:space="0" w:color="auto"/>
        <w:right w:val="none" w:sz="0" w:space="0" w:color="auto"/>
      </w:divBdr>
      <w:divsChild>
        <w:div w:id="1797259467">
          <w:marLeft w:val="0"/>
          <w:marRight w:val="0"/>
          <w:marTop w:val="0"/>
          <w:marBottom w:val="0"/>
          <w:divBdr>
            <w:top w:val="none" w:sz="0" w:space="0" w:color="auto"/>
            <w:left w:val="none" w:sz="0" w:space="0" w:color="auto"/>
            <w:bottom w:val="none" w:sz="0" w:space="0" w:color="auto"/>
            <w:right w:val="none" w:sz="0" w:space="0" w:color="auto"/>
          </w:divBdr>
        </w:div>
      </w:divsChild>
    </w:div>
    <w:div w:id="211888866">
      <w:bodyDiv w:val="1"/>
      <w:marLeft w:val="188"/>
      <w:marRight w:val="188"/>
      <w:marTop w:val="0"/>
      <w:marBottom w:val="0"/>
      <w:divBdr>
        <w:top w:val="none" w:sz="0" w:space="0" w:color="auto"/>
        <w:left w:val="none" w:sz="0" w:space="0" w:color="auto"/>
        <w:bottom w:val="none" w:sz="0" w:space="0" w:color="auto"/>
        <w:right w:val="none" w:sz="0" w:space="0" w:color="auto"/>
      </w:divBdr>
      <w:divsChild>
        <w:div w:id="1546335216">
          <w:marLeft w:val="0"/>
          <w:marRight w:val="0"/>
          <w:marTop w:val="0"/>
          <w:marBottom w:val="0"/>
          <w:divBdr>
            <w:top w:val="none" w:sz="0" w:space="0" w:color="auto"/>
            <w:left w:val="none" w:sz="0" w:space="0" w:color="auto"/>
            <w:bottom w:val="none" w:sz="0" w:space="0" w:color="auto"/>
            <w:right w:val="none" w:sz="0" w:space="0" w:color="auto"/>
          </w:divBdr>
        </w:div>
      </w:divsChild>
    </w:div>
    <w:div w:id="219169087">
      <w:bodyDiv w:val="1"/>
      <w:marLeft w:val="188"/>
      <w:marRight w:val="188"/>
      <w:marTop w:val="0"/>
      <w:marBottom w:val="0"/>
      <w:divBdr>
        <w:top w:val="none" w:sz="0" w:space="0" w:color="auto"/>
        <w:left w:val="none" w:sz="0" w:space="0" w:color="auto"/>
        <w:bottom w:val="none" w:sz="0" w:space="0" w:color="auto"/>
        <w:right w:val="none" w:sz="0" w:space="0" w:color="auto"/>
      </w:divBdr>
      <w:divsChild>
        <w:div w:id="235016287">
          <w:marLeft w:val="0"/>
          <w:marRight w:val="0"/>
          <w:marTop w:val="0"/>
          <w:marBottom w:val="0"/>
          <w:divBdr>
            <w:top w:val="none" w:sz="0" w:space="0" w:color="auto"/>
            <w:left w:val="none" w:sz="0" w:space="0" w:color="auto"/>
            <w:bottom w:val="none" w:sz="0" w:space="0" w:color="auto"/>
            <w:right w:val="none" w:sz="0" w:space="0" w:color="auto"/>
          </w:divBdr>
        </w:div>
      </w:divsChild>
    </w:div>
    <w:div w:id="283318738">
      <w:bodyDiv w:val="1"/>
      <w:marLeft w:val="0"/>
      <w:marRight w:val="0"/>
      <w:marTop w:val="0"/>
      <w:marBottom w:val="0"/>
      <w:divBdr>
        <w:top w:val="none" w:sz="0" w:space="0" w:color="auto"/>
        <w:left w:val="none" w:sz="0" w:space="0" w:color="auto"/>
        <w:bottom w:val="none" w:sz="0" w:space="0" w:color="auto"/>
        <w:right w:val="none" w:sz="0" w:space="0" w:color="auto"/>
      </w:divBdr>
    </w:div>
    <w:div w:id="287325539">
      <w:bodyDiv w:val="1"/>
      <w:marLeft w:val="188"/>
      <w:marRight w:val="188"/>
      <w:marTop w:val="0"/>
      <w:marBottom w:val="0"/>
      <w:divBdr>
        <w:top w:val="none" w:sz="0" w:space="0" w:color="auto"/>
        <w:left w:val="none" w:sz="0" w:space="0" w:color="auto"/>
        <w:bottom w:val="none" w:sz="0" w:space="0" w:color="auto"/>
        <w:right w:val="none" w:sz="0" w:space="0" w:color="auto"/>
      </w:divBdr>
      <w:divsChild>
        <w:div w:id="828597235">
          <w:marLeft w:val="0"/>
          <w:marRight w:val="0"/>
          <w:marTop w:val="0"/>
          <w:marBottom w:val="0"/>
          <w:divBdr>
            <w:top w:val="none" w:sz="0" w:space="0" w:color="auto"/>
            <w:left w:val="none" w:sz="0" w:space="0" w:color="auto"/>
            <w:bottom w:val="none" w:sz="0" w:space="0" w:color="auto"/>
            <w:right w:val="none" w:sz="0" w:space="0" w:color="auto"/>
          </w:divBdr>
        </w:div>
      </w:divsChild>
    </w:div>
    <w:div w:id="340163097">
      <w:bodyDiv w:val="1"/>
      <w:marLeft w:val="188"/>
      <w:marRight w:val="188"/>
      <w:marTop w:val="0"/>
      <w:marBottom w:val="0"/>
      <w:divBdr>
        <w:top w:val="none" w:sz="0" w:space="0" w:color="auto"/>
        <w:left w:val="none" w:sz="0" w:space="0" w:color="auto"/>
        <w:bottom w:val="none" w:sz="0" w:space="0" w:color="auto"/>
        <w:right w:val="none" w:sz="0" w:space="0" w:color="auto"/>
      </w:divBdr>
      <w:divsChild>
        <w:div w:id="1176110317">
          <w:marLeft w:val="0"/>
          <w:marRight w:val="0"/>
          <w:marTop w:val="0"/>
          <w:marBottom w:val="0"/>
          <w:divBdr>
            <w:top w:val="none" w:sz="0" w:space="0" w:color="auto"/>
            <w:left w:val="none" w:sz="0" w:space="0" w:color="auto"/>
            <w:bottom w:val="none" w:sz="0" w:space="0" w:color="auto"/>
            <w:right w:val="none" w:sz="0" w:space="0" w:color="auto"/>
          </w:divBdr>
        </w:div>
      </w:divsChild>
    </w:div>
    <w:div w:id="352532146">
      <w:bodyDiv w:val="1"/>
      <w:marLeft w:val="0"/>
      <w:marRight w:val="0"/>
      <w:marTop w:val="0"/>
      <w:marBottom w:val="0"/>
      <w:divBdr>
        <w:top w:val="none" w:sz="0" w:space="0" w:color="auto"/>
        <w:left w:val="none" w:sz="0" w:space="0" w:color="auto"/>
        <w:bottom w:val="none" w:sz="0" w:space="0" w:color="auto"/>
        <w:right w:val="none" w:sz="0" w:space="0" w:color="auto"/>
      </w:divBdr>
    </w:div>
    <w:div w:id="360514288">
      <w:bodyDiv w:val="1"/>
      <w:marLeft w:val="0"/>
      <w:marRight w:val="0"/>
      <w:marTop w:val="0"/>
      <w:marBottom w:val="0"/>
      <w:divBdr>
        <w:top w:val="none" w:sz="0" w:space="0" w:color="auto"/>
        <w:left w:val="none" w:sz="0" w:space="0" w:color="auto"/>
        <w:bottom w:val="none" w:sz="0" w:space="0" w:color="auto"/>
        <w:right w:val="none" w:sz="0" w:space="0" w:color="auto"/>
      </w:divBdr>
    </w:div>
    <w:div w:id="438381808">
      <w:bodyDiv w:val="1"/>
      <w:marLeft w:val="0"/>
      <w:marRight w:val="0"/>
      <w:marTop w:val="0"/>
      <w:marBottom w:val="0"/>
      <w:divBdr>
        <w:top w:val="none" w:sz="0" w:space="0" w:color="auto"/>
        <w:left w:val="none" w:sz="0" w:space="0" w:color="auto"/>
        <w:bottom w:val="none" w:sz="0" w:space="0" w:color="auto"/>
        <w:right w:val="none" w:sz="0" w:space="0" w:color="auto"/>
      </w:divBdr>
    </w:div>
    <w:div w:id="511839386">
      <w:bodyDiv w:val="1"/>
      <w:marLeft w:val="188"/>
      <w:marRight w:val="188"/>
      <w:marTop w:val="0"/>
      <w:marBottom w:val="0"/>
      <w:divBdr>
        <w:top w:val="none" w:sz="0" w:space="0" w:color="auto"/>
        <w:left w:val="none" w:sz="0" w:space="0" w:color="auto"/>
        <w:bottom w:val="none" w:sz="0" w:space="0" w:color="auto"/>
        <w:right w:val="none" w:sz="0" w:space="0" w:color="auto"/>
      </w:divBdr>
      <w:divsChild>
        <w:div w:id="1362853074">
          <w:marLeft w:val="0"/>
          <w:marRight w:val="0"/>
          <w:marTop w:val="0"/>
          <w:marBottom w:val="0"/>
          <w:divBdr>
            <w:top w:val="none" w:sz="0" w:space="0" w:color="auto"/>
            <w:left w:val="none" w:sz="0" w:space="0" w:color="auto"/>
            <w:bottom w:val="none" w:sz="0" w:space="0" w:color="auto"/>
            <w:right w:val="none" w:sz="0" w:space="0" w:color="auto"/>
          </w:divBdr>
        </w:div>
      </w:divsChild>
    </w:div>
    <w:div w:id="598173185">
      <w:bodyDiv w:val="1"/>
      <w:marLeft w:val="188"/>
      <w:marRight w:val="188"/>
      <w:marTop w:val="0"/>
      <w:marBottom w:val="0"/>
      <w:divBdr>
        <w:top w:val="none" w:sz="0" w:space="0" w:color="auto"/>
        <w:left w:val="none" w:sz="0" w:space="0" w:color="auto"/>
        <w:bottom w:val="none" w:sz="0" w:space="0" w:color="auto"/>
        <w:right w:val="none" w:sz="0" w:space="0" w:color="auto"/>
      </w:divBdr>
      <w:divsChild>
        <w:div w:id="2117872240">
          <w:marLeft w:val="0"/>
          <w:marRight w:val="0"/>
          <w:marTop w:val="0"/>
          <w:marBottom w:val="0"/>
          <w:divBdr>
            <w:top w:val="none" w:sz="0" w:space="0" w:color="auto"/>
            <w:left w:val="none" w:sz="0" w:space="0" w:color="auto"/>
            <w:bottom w:val="none" w:sz="0" w:space="0" w:color="auto"/>
            <w:right w:val="none" w:sz="0" w:space="0" w:color="auto"/>
          </w:divBdr>
        </w:div>
      </w:divsChild>
    </w:div>
    <w:div w:id="724452614">
      <w:bodyDiv w:val="1"/>
      <w:marLeft w:val="0"/>
      <w:marRight w:val="0"/>
      <w:marTop w:val="0"/>
      <w:marBottom w:val="0"/>
      <w:divBdr>
        <w:top w:val="none" w:sz="0" w:space="0" w:color="auto"/>
        <w:left w:val="none" w:sz="0" w:space="0" w:color="auto"/>
        <w:bottom w:val="none" w:sz="0" w:space="0" w:color="auto"/>
        <w:right w:val="none" w:sz="0" w:space="0" w:color="auto"/>
      </w:divBdr>
    </w:div>
    <w:div w:id="753942813">
      <w:bodyDiv w:val="1"/>
      <w:marLeft w:val="0"/>
      <w:marRight w:val="0"/>
      <w:marTop w:val="0"/>
      <w:marBottom w:val="0"/>
      <w:divBdr>
        <w:top w:val="none" w:sz="0" w:space="0" w:color="auto"/>
        <w:left w:val="none" w:sz="0" w:space="0" w:color="auto"/>
        <w:bottom w:val="none" w:sz="0" w:space="0" w:color="auto"/>
        <w:right w:val="none" w:sz="0" w:space="0" w:color="auto"/>
      </w:divBdr>
    </w:div>
    <w:div w:id="837041361">
      <w:bodyDiv w:val="1"/>
      <w:marLeft w:val="188"/>
      <w:marRight w:val="188"/>
      <w:marTop w:val="0"/>
      <w:marBottom w:val="0"/>
      <w:divBdr>
        <w:top w:val="none" w:sz="0" w:space="0" w:color="auto"/>
        <w:left w:val="none" w:sz="0" w:space="0" w:color="auto"/>
        <w:bottom w:val="none" w:sz="0" w:space="0" w:color="auto"/>
        <w:right w:val="none" w:sz="0" w:space="0" w:color="auto"/>
      </w:divBdr>
      <w:divsChild>
        <w:div w:id="1288200740">
          <w:marLeft w:val="0"/>
          <w:marRight w:val="0"/>
          <w:marTop w:val="0"/>
          <w:marBottom w:val="0"/>
          <w:divBdr>
            <w:top w:val="none" w:sz="0" w:space="0" w:color="auto"/>
            <w:left w:val="none" w:sz="0" w:space="0" w:color="auto"/>
            <w:bottom w:val="none" w:sz="0" w:space="0" w:color="auto"/>
            <w:right w:val="none" w:sz="0" w:space="0" w:color="auto"/>
          </w:divBdr>
        </w:div>
      </w:divsChild>
    </w:div>
    <w:div w:id="933439817">
      <w:bodyDiv w:val="1"/>
      <w:marLeft w:val="188"/>
      <w:marRight w:val="188"/>
      <w:marTop w:val="0"/>
      <w:marBottom w:val="0"/>
      <w:divBdr>
        <w:top w:val="none" w:sz="0" w:space="0" w:color="auto"/>
        <w:left w:val="none" w:sz="0" w:space="0" w:color="auto"/>
        <w:bottom w:val="none" w:sz="0" w:space="0" w:color="auto"/>
        <w:right w:val="none" w:sz="0" w:space="0" w:color="auto"/>
      </w:divBdr>
      <w:divsChild>
        <w:div w:id="185217452">
          <w:marLeft w:val="0"/>
          <w:marRight w:val="0"/>
          <w:marTop w:val="0"/>
          <w:marBottom w:val="0"/>
          <w:divBdr>
            <w:top w:val="none" w:sz="0" w:space="0" w:color="auto"/>
            <w:left w:val="none" w:sz="0" w:space="0" w:color="auto"/>
            <w:bottom w:val="none" w:sz="0" w:space="0" w:color="auto"/>
            <w:right w:val="none" w:sz="0" w:space="0" w:color="auto"/>
          </w:divBdr>
        </w:div>
      </w:divsChild>
    </w:div>
    <w:div w:id="977998701">
      <w:bodyDiv w:val="1"/>
      <w:marLeft w:val="0"/>
      <w:marRight w:val="0"/>
      <w:marTop w:val="0"/>
      <w:marBottom w:val="0"/>
      <w:divBdr>
        <w:top w:val="none" w:sz="0" w:space="0" w:color="auto"/>
        <w:left w:val="none" w:sz="0" w:space="0" w:color="auto"/>
        <w:bottom w:val="none" w:sz="0" w:space="0" w:color="auto"/>
        <w:right w:val="none" w:sz="0" w:space="0" w:color="auto"/>
      </w:divBdr>
    </w:div>
    <w:div w:id="10075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481773909">
          <w:marLeft w:val="0"/>
          <w:marRight w:val="0"/>
          <w:marTop w:val="0"/>
          <w:marBottom w:val="0"/>
          <w:divBdr>
            <w:top w:val="none" w:sz="0" w:space="0" w:color="auto"/>
            <w:left w:val="none" w:sz="0" w:space="0" w:color="auto"/>
            <w:bottom w:val="none" w:sz="0" w:space="0" w:color="auto"/>
            <w:right w:val="none" w:sz="0" w:space="0" w:color="auto"/>
          </w:divBdr>
        </w:div>
      </w:divsChild>
    </w:div>
    <w:div w:id="1108038026">
      <w:bodyDiv w:val="1"/>
      <w:marLeft w:val="188"/>
      <w:marRight w:val="188"/>
      <w:marTop w:val="0"/>
      <w:marBottom w:val="0"/>
      <w:divBdr>
        <w:top w:val="none" w:sz="0" w:space="0" w:color="auto"/>
        <w:left w:val="none" w:sz="0" w:space="0" w:color="auto"/>
        <w:bottom w:val="none" w:sz="0" w:space="0" w:color="auto"/>
        <w:right w:val="none" w:sz="0" w:space="0" w:color="auto"/>
      </w:divBdr>
      <w:divsChild>
        <w:div w:id="2022275616">
          <w:marLeft w:val="0"/>
          <w:marRight w:val="0"/>
          <w:marTop w:val="0"/>
          <w:marBottom w:val="0"/>
          <w:divBdr>
            <w:top w:val="none" w:sz="0" w:space="0" w:color="auto"/>
            <w:left w:val="none" w:sz="0" w:space="0" w:color="auto"/>
            <w:bottom w:val="none" w:sz="0" w:space="0" w:color="auto"/>
            <w:right w:val="none" w:sz="0" w:space="0" w:color="auto"/>
          </w:divBdr>
        </w:div>
      </w:divsChild>
    </w:div>
    <w:div w:id="1219627738">
      <w:bodyDiv w:val="1"/>
      <w:marLeft w:val="0"/>
      <w:marRight w:val="0"/>
      <w:marTop w:val="0"/>
      <w:marBottom w:val="0"/>
      <w:divBdr>
        <w:top w:val="none" w:sz="0" w:space="0" w:color="auto"/>
        <w:left w:val="none" w:sz="0" w:space="0" w:color="auto"/>
        <w:bottom w:val="none" w:sz="0" w:space="0" w:color="auto"/>
        <w:right w:val="none" w:sz="0" w:space="0" w:color="auto"/>
      </w:divBdr>
    </w:div>
    <w:div w:id="1307274605">
      <w:bodyDiv w:val="1"/>
      <w:marLeft w:val="0"/>
      <w:marRight w:val="0"/>
      <w:marTop w:val="0"/>
      <w:marBottom w:val="0"/>
      <w:divBdr>
        <w:top w:val="none" w:sz="0" w:space="0" w:color="auto"/>
        <w:left w:val="none" w:sz="0" w:space="0" w:color="auto"/>
        <w:bottom w:val="none" w:sz="0" w:space="0" w:color="auto"/>
        <w:right w:val="none" w:sz="0" w:space="0" w:color="auto"/>
      </w:divBdr>
    </w:div>
    <w:div w:id="1428501377">
      <w:bodyDiv w:val="1"/>
      <w:marLeft w:val="188"/>
      <w:marRight w:val="188"/>
      <w:marTop w:val="0"/>
      <w:marBottom w:val="0"/>
      <w:divBdr>
        <w:top w:val="none" w:sz="0" w:space="0" w:color="auto"/>
        <w:left w:val="none" w:sz="0" w:space="0" w:color="auto"/>
        <w:bottom w:val="none" w:sz="0" w:space="0" w:color="auto"/>
        <w:right w:val="none" w:sz="0" w:space="0" w:color="auto"/>
      </w:divBdr>
      <w:divsChild>
        <w:div w:id="2017227119">
          <w:marLeft w:val="0"/>
          <w:marRight w:val="0"/>
          <w:marTop w:val="0"/>
          <w:marBottom w:val="0"/>
          <w:divBdr>
            <w:top w:val="none" w:sz="0" w:space="0" w:color="auto"/>
            <w:left w:val="none" w:sz="0" w:space="0" w:color="auto"/>
            <w:bottom w:val="none" w:sz="0" w:space="0" w:color="auto"/>
            <w:right w:val="none" w:sz="0" w:space="0" w:color="auto"/>
          </w:divBdr>
        </w:div>
      </w:divsChild>
    </w:div>
    <w:div w:id="1596399232">
      <w:bodyDiv w:val="1"/>
      <w:marLeft w:val="188"/>
      <w:marRight w:val="188"/>
      <w:marTop w:val="0"/>
      <w:marBottom w:val="0"/>
      <w:divBdr>
        <w:top w:val="none" w:sz="0" w:space="0" w:color="auto"/>
        <w:left w:val="none" w:sz="0" w:space="0" w:color="auto"/>
        <w:bottom w:val="none" w:sz="0" w:space="0" w:color="auto"/>
        <w:right w:val="none" w:sz="0" w:space="0" w:color="auto"/>
      </w:divBdr>
      <w:divsChild>
        <w:div w:id="225841195">
          <w:marLeft w:val="0"/>
          <w:marRight w:val="0"/>
          <w:marTop w:val="0"/>
          <w:marBottom w:val="0"/>
          <w:divBdr>
            <w:top w:val="none" w:sz="0" w:space="0" w:color="auto"/>
            <w:left w:val="none" w:sz="0" w:space="0" w:color="auto"/>
            <w:bottom w:val="none" w:sz="0" w:space="0" w:color="auto"/>
            <w:right w:val="none" w:sz="0" w:space="0" w:color="auto"/>
          </w:divBdr>
        </w:div>
      </w:divsChild>
    </w:div>
    <w:div w:id="1622178411">
      <w:bodyDiv w:val="1"/>
      <w:marLeft w:val="0"/>
      <w:marRight w:val="0"/>
      <w:marTop w:val="0"/>
      <w:marBottom w:val="0"/>
      <w:divBdr>
        <w:top w:val="none" w:sz="0" w:space="0" w:color="auto"/>
        <w:left w:val="none" w:sz="0" w:space="0" w:color="auto"/>
        <w:bottom w:val="none" w:sz="0" w:space="0" w:color="auto"/>
        <w:right w:val="none" w:sz="0" w:space="0" w:color="auto"/>
      </w:divBdr>
    </w:div>
    <w:div w:id="1687630479">
      <w:bodyDiv w:val="1"/>
      <w:marLeft w:val="0"/>
      <w:marRight w:val="0"/>
      <w:marTop w:val="0"/>
      <w:marBottom w:val="0"/>
      <w:divBdr>
        <w:top w:val="none" w:sz="0" w:space="0" w:color="auto"/>
        <w:left w:val="none" w:sz="0" w:space="0" w:color="auto"/>
        <w:bottom w:val="none" w:sz="0" w:space="0" w:color="auto"/>
        <w:right w:val="none" w:sz="0" w:space="0" w:color="auto"/>
      </w:divBdr>
      <w:divsChild>
        <w:div w:id="1511720916">
          <w:marLeft w:val="0"/>
          <w:marRight w:val="0"/>
          <w:marTop w:val="0"/>
          <w:marBottom w:val="0"/>
          <w:divBdr>
            <w:top w:val="none" w:sz="0" w:space="0" w:color="auto"/>
            <w:left w:val="none" w:sz="0" w:space="0" w:color="auto"/>
            <w:bottom w:val="none" w:sz="0" w:space="0" w:color="auto"/>
            <w:right w:val="none" w:sz="0" w:space="0" w:color="auto"/>
          </w:divBdr>
        </w:div>
        <w:div w:id="1717117980">
          <w:marLeft w:val="0"/>
          <w:marRight w:val="0"/>
          <w:marTop w:val="0"/>
          <w:marBottom w:val="0"/>
          <w:divBdr>
            <w:top w:val="none" w:sz="0" w:space="0" w:color="auto"/>
            <w:left w:val="none" w:sz="0" w:space="0" w:color="auto"/>
            <w:bottom w:val="none" w:sz="0" w:space="0" w:color="auto"/>
            <w:right w:val="none" w:sz="0" w:space="0" w:color="auto"/>
          </w:divBdr>
        </w:div>
      </w:divsChild>
    </w:div>
    <w:div w:id="1718432496">
      <w:bodyDiv w:val="1"/>
      <w:marLeft w:val="0"/>
      <w:marRight w:val="0"/>
      <w:marTop w:val="0"/>
      <w:marBottom w:val="0"/>
      <w:divBdr>
        <w:top w:val="none" w:sz="0" w:space="0" w:color="auto"/>
        <w:left w:val="none" w:sz="0" w:space="0" w:color="auto"/>
        <w:bottom w:val="none" w:sz="0" w:space="0" w:color="auto"/>
        <w:right w:val="none" w:sz="0" w:space="0" w:color="auto"/>
      </w:divBdr>
    </w:div>
    <w:div w:id="1903245942">
      <w:bodyDiv w:val="1"/>
      <w:marLeft w:val="0"/>
      <w:marRight w:val="0"/>
      <w:marTop w:val="0"/>
      <w:marBottom w:val="0"/>
      <w:divBdr>
        <w:top w:val="none" w:sz="0" w:space="0" w:color="auto"/>
        <w:left w:val="none" w:sz="0" w:space="0" w:color="auto"/>
        <w:bottom w:val="none" w:sz="0" w:space="0" w:color="auto"/>
        <w:right w:val="none" w:sz="0" w:space="0" w:color="auto"/>
      </w:divBdr>
    </w:div>
    <w:div w:id="1910459555">
      <w:bodyDiv w:val="1"/>
      <w:marLeft w:val="0"/>
      <w:marRight w:val="0"/>
      <w:marTop w:val="0"/>
      <w:marBottom w:val="0"/>
      <w:divBdr>
        <w:top w:val="none" w:sz="0" w:space="0" w:color="auto"/>
        <w:left w:val="none" w:sz="0" w:space="0" w:color="auto"/>
        <w:bottom w:val="none" w:sz="0" w:space="0" w:color="auto"/>
        <w:right w:val="none" w:sz="0" w:space="0" w:color="auto"/>
      </w:divBdr>
    </w:div>
    <w:div w:id="2034064363">
      <w:bodyDiv w:val="1"/>
      <w:marLeft w:val="188"/>
      <w:marRight w:val="188"/>
      <w:marTop w:val="0"/>
      <w:marBottom w:val="0"/>
      <w:divBdr>
        <w:top w:val="none" w:sz="0" w:space="0" w:color="auto"/>
        <w:left w:val="none" w:sz="0" w:space="0" w:color="auto"/>
        <w:bottom w:val="none" w:sz="0" w:space="0" w:color="auto"/>
        <w:right w:val="none" w:sz="0" w:space="0" w:color="auto"/>
      </w:divBdr>
      <w:divsChild>
        <w:div w:id="1124158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C1CB7-881C-4F48-9D5A-04B20334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16224</Words>
  <Characters>9249</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ak_algirdasr</dc:creator>
  <cp:keywords/>
  <dc:description/>
  <cp:lastModifiedBy>Arūnas Dereškevičius</cp:lastModifiedBy>
  <cp:revision>2</cp:revision>
  <cp:lastPrinted>2019-10-25T09:32:00Z</cp:lastPrinted>
  <dcterms:created xsi:type="dcterms:W3CDTF">2023-12-06T12:58:00Z</dcterms:created>
  <dcterms:modified xsi:type="dcterms:W3CDTF">2023-12-06T12:58:00Z</dcterms:modified>
</cp:coreProperties>
</file>